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8110" w14:textId="308B8709" w:rsidR="00F41C82" w:rsidRPr="00D03B86" w:rsidRDefault="00C8403B" w:rsidP="00F41C82">
      <w:pPr>
        <w:rPr>
          <w:rFonts w:ascii="Century Gothic" w:hAnsi="Century Gothic"/>
          <w:spacing w:val="-6"/>
          <w:sz w:val="36"/>
          <w:szCs w:val="36"/>
        </w:rPr>
      </w:pPr>
      <w:r w:rsidRPr="00D03B86">
        <w:rPr>
          <w:rFonts w:ascii="Century Gothic" w:hAnsi="Century Gothic"/>
          <w:spacing w:val="-6"/>
          <w:sz w:val="36"/>
          <w:szCs w:val="36"/>
        </w:rPr>
        <w:t xml:space="preserve">NEUROBIOLOGIA </w:t>
      </w:r>
      <w:r>
        <w:rPr>
          <w:rFonts w:ascii="Century Gothic" w:hAnsi="Century Gothic"/>
          <w:spacing w:val="-6"/>
          <w:sz w:val="36"/>
          <w:szCs w:val="36"/>
        </w:rPr>
        <w:t>D</w:t>
      </w:r>
      <w:r w:rsidRPr="00D03B86">
        <w:rPr>
          <w:rFonts w:ascii="Century Gothic" w:hAnsi="Century Gothic"/>
          <w:spacing w:val="-6"/>
          <w:sz w:val="36"/>
          <w:szCs w:val="36"/>
        </w:rPr>
        <w:t xml:space="preserve">OS TRANSTORNOS PSIQUIÁTRICOS: MAPEANDO </w:t>
      </w:r>
      <w:r>
        <w:rPr>
          <w:rFonts w:ascii="Century Gothic" w:hAnsi="Century Gothic"/>
          <w:spacing w:val="-6"/>
          <w:sz w:val="36"/>
          <w:szCs w:val="36"/>
        </w:rPr>
        <w:t>A</w:t>
      </w:r>
      <w:r w:rsidRPr="00D03B86">
        <w:rPr>
          <w:rFonts w:ascii="Century Gothic" w:hAnsi="Century Gothic"/>
          <w:spacing w:val="-6"/>
          <w:sz w:val="36"/>
          <w:szCs w:val="36"/>
        </w:rPr>
        <w:t>S BASES NEURAIS E</w:t>
      </w:r>
      <w:r>
        <w:rPr>
          <w:rFonts w:ascii="Century Gothic" w:hAnsi="Century Gothic"/>
          <w:spacing w:val="-6"/>
          <w:sz w:val="36"/>
          <w:szCs w:val="36"/>
        </w:rPr>
        <w:t xml:space="preserve"> </w:t>
      </w:r>
      <w:r w:rsidRPr="00D03B86">
        <w:rPr>
          <w:rFonts w:ascii="Century Gothic" w:hAnsi="Century Gothic"/>
          <w:spacing w:val="-6"/>
          <w:sz w:val="36"/>
          <w:szCs w:val="36"/>
        </w:rPr>
        <w:t xml:space="preserve">IMPLICAÇÕES TERAPÊUTICAS </w:t>
      </w:r>
      <w:r>
        <w:rPr>
          <w:rFonts w:ascii="Century Gothic" w:hAnsi="Century Gothic"/>
          <w:spacing w:val="-6"/>
          <w:sz w:val="36"/>
          <w:szCs w:val="36"/>
        </w:rPr>
        <w:t>D</w:t>
      </w:r>
      <w:r w:rsidRPr="00D03B86">
        <w:rPr>
          <w:rFonts w:ascii="Century Gothic" w:hAnsi="Century Gothic"/>
          <w:spacing w:val="-6"/>
          <w:sz w:val="36"/>
          <w:szCs w:val="36"/>
        </w:rPr>
        <w:t>O TDAH E TAB</w:t>
      </w:r>
    </w:p>
    <w:p w14:paraId="06A501E8" w14:textId="62B338F9" w:rsidR="00F41C82" w:rsidRPr="00D03B86" w:rsidRDefault="00C8403B" w:rsidP="00F41C82">
      <w:pPr>
        <w:rPr>
          <w:rFonts w:ascii="Century Gothic" w:hAnsi="Century Gothic"/>
          <w:spacing w:val="-6"/>
          <w:sz w:val="28"/>
          <w:szCs w:val="28"/>
          <w:lang w:val="en-US"/>
        </w:rPr>
      </w:pPr>
      <w:r w:rsidRPr="00D03B86">
        <w:rPr>
          <w:rFonts w:ascii="Century Gothic" w:hAnsi="Century Gothic"/>
          <w:spacing w:val="-6"/>
          <w:sz w:val="28"/>
          <w:szCs w:val="28"/>
          <w:lang w:val="en-US"/>
        </w:rPr>
        <w:t>NEUROBIOLOGY OF PSYCHIATRIC DISORDERS: MAPPING THE NEURAL BASES AND THERAPEUTIC IMPLICATIONS OF ADHD AND BD</w:t>
      </w:r>
    </w:p>
    <w:p w14:paraId="7DEA4737" w14:textId="21787C79" w:rsidR="00EF6EF1" w:rsidRPr="00D03B86" w:rsidRDefault="00EF6EF1" w:rsidP="00EF6EF1">
      <w:pPr>
        <w:spacing w:after="60"/>
        <w:jc w:val="both"/>
        <w:rPr>
          <w:rFonts w:ascii="Gabriola" w:hAnsi="Gabriola"/>
          <w:spacing w:val="-10"/>
          <w:sz w:val="28"/>
          <w:szCs w:val="28"/>
        </w:rPr>
      </w:pPr>
      <w:r w:rsidRPr="00D03B86">
        <w:rPr>
          <w:rFonts w:ascii="Gabriola" w:hAnsi="Gabriola"/>
          <w:spacing w:val="-10"/>
          <w:sz w:val="28"/>
          <w:szCs w:val="28"/>
        </w:rPr>
        <w:t>Ícaro Mendes Pinheiro</w:t>
      </w:r>
      <w:r w:rsidRPr="00D03B86">
        <w:rPr>
          <w:rFonts w:ascii="Gabriola" w:hAnsi="Gabriola"/>
          <w:spacing w:val="-10"/>
          <w:sz w:val="28"/>
          <w:szCs w:val="28"/>
          <w:vertAlign w:val="superscript"/>
        </w:rPr>
        <w:t>1</w:t>
      </w:r>
      <w:r w:rsidRPr="00D03B86">
        <w:rPr>
          <w:rFonts w:ascii="Gabriola" w:hAnsi="Gabriola"/>
          <w:spacing w:val="-10"/>
          <w:sz w:val="28"/>
          <w:szCs w:val="28"/>
        </w:rPr>
        <w:t xml:space="preserve">, Laura </w:t>
      </w:r>
      <w:proofErr w:type="spellStart"/>
      <w:r w:rsidRPr="00D03B86">
        <w:rPr>
          <w:rFonts w:ascii="Gabriola" w:hAnsi="Gabriola"/>
          <w:spacing w:val="-10"/>
          <w:sz w:val="28"/>
          <w:szCs w:val="28"/>
        </w:rPr>
        <w:t>Kailanny</w:t>
      </w:r>
      <w:proofErr w:type="spellEnd"/>
      <w:r w:rsidRPr="00D03B86">
        <w:rPr>
          <w:rFonts w:ascii="Gabriola" w:hAnsi="Gabriola"/>
          <w:spacing w:val="-10"/>
          <w:sz w:val="28"/>
          <w:szCs w:val="28"/>
        </w:rPr>
        <w:t xml:space="preserve"> Vieira Veloso </w:t>
      </w:r>
      <w:r>
        <w:rPr>
          <w:rFonts w:ascii="Gabriola" w:hAnsi="Gabriola"/>
          <w:spacing w:val="-10"/>
          <w:sz w:val="28"/>
          <w:szCs w:val="28"/>
        </w:rPr>
        <w:t>d</w:t>
      </w:r>
      <w:r w:rsidRPr="00D03B86">
        <w:rPr>
          <w:rFonts w:ascii="Gabriola" w:hAnsi="Gabriola"/>
          <w:spacing w:val="-10"/>
          <w:sz w:val="28"/>
          <w:szCs w:val="28"/>
        </w:rPr>
        <w:t>a Fonseca</w:t>
      </w:r>
      <w:r w:rsidRPr="00D03B86">
        <w:rPr>
          <w:rFonts w:ascii="Gabriola" w:hAnsi="Gabriola"/>
          <w:spacing w:val="-10"/>
          <w:sz w:val="28"/>
          <w:szCs w:val="28"/>
          <w:vertAlign w:val="superscript"/>
        </w:rPr>
        <w:t>2</w:t>
      </w:r>
      <w:r w:rsidRPr="00D03B86">
        <w:rPr>
          <w:rFonts w:ascii="Gabriola" w:hAnsi="Gabriola"/>
          <w:spacing w:val="-10"/>
          <w:sz w:val="28"/>
          <w:szCs w:val="28"/>
        </w:rPr>
        <w:t xml:space="preserve">, Luiza </w:t>
      </w:r>
      <w:proofErr w:type="spellStart"/>
      <w:r w:rsidRPr="00D03B86">
        <w:rPr>
          <w:rFonts w:ascii="Gabriola" w:hAnsi="Gabriola"/>
          <w:spacing w:val="-10"/>
          <w:sz w:val="28"/>
          <w:szCs w:val="28"/>
        </w:rPr>
        <w:t>Gabrielly</w:t>
      </w:r>
      <w:proofErr w:type="spellEnd"/>
      <w:r w:rsidRPr="00D03B86">
        <w:rPr>
          <w:rFonts w:ascii="Gabriola" w:hAnsi="Gabriola"/>
          <w:spacing w:val="-10"/>
          <w:sz w:val="28"/>
          <w:szCs w:val="28"/>
        </w:rPr>
        <w:t xml:space="preserve"> Marques Borges</w:t>
      </w:r>
      <w:r w:rsidRPr="00D03B86">
        <w:rPr>
          <w:rFonts w:ascii="Gabriola" w:hAnsi="Gabriola"/>
          <w:spacing w:val="-10"/>
          <w:sz w:val="28"/>
          <w:szCs w:val="28"/>
          <w:vertAlign w:val="superscript"/>
        </w:rPr>
        <w:t>3</w:t>
      </w:r>
      <w:r w:rsidRPr="00D03B86">
        <w:rPr>
          <w:rFonts w:ascii="Gabriola" w:hAnsi="Gabriola"/>
          <w:spacing w:val="-10"/>
          <w:sz w:val="28"/>
          <w:szCs w:val="28"/>
        </w:rPr>
        <w:t>, Marciana Segura Froio</w:t>
      </w:r>
      <w:r w:rsidRPr="00D03B86">
        <w:rPr>
          <w:rFonts w:ascii="Gabriola" w:hAnsi="Gabriola"/>
          <w:spacing w:val="-10"/>
          <w:sz w:val="28"/>
          <w:szCs w:val="28"/>
          <w:vertAlign w:val="superscript"/>
        </w:rPr>
        <w:t>4</w:t>
      </w:r>
      <w:r w:rsidRPr="00D03B86">
        <w:rPr>
          <w:rFonts w:ascii="Gabriola" w:hAnsi="Gabriola"/>
          <w:spacing w:val="-10"/>
          <w:sz w:val="28"/>
          <w:szCs w:val="28"/>
        </w:rPr>
        <w:t>.</w:t>
      </w:r>
    </w:p>
    <w:p w14:paraId="0D8665F3" w14:textId="1045EA5D" w:rsidR="00E671DD" w:rsidRPr="00733F5E" w:rsidRDefault="00733F5E" w:rsidP="00733F5E">
      <w:pPr>
        <w:widowControl/>
        <w:adjustRightInd w:val="0"/>
        <w:spacing w:after="60"/>
        <w:rPr>
          <w:rFonts w:asciiTheme="minorHAnsi" w:hAnsiTheme="minorHAnsi" w:cstheme="minorHAnsi"/>
          <w:color w:val="000000"/>
          <w:spacing w:val="-6"/>
          <w:sz w:val="16"/>
          <w:szCs w:val="16"/>
          <w:lang w:val="pt-BR"/>
        </w:rPr>
      </w:pPr>
      <w:r w:rsidRPr="00733F5E">
        <w:rPr>
          <w:rFonts w:asciiTheme="minorHAnsi" w:eastAsia="MS Gothic" w:hAnsiTheme="minorHAnsi" w:cstheme="minorHAnsi"/>
          <w:color w:val="000000"/>
          <w:spacing w:val="-6"/>
          <w:sz w:val="16"/>
          <w:szCs w:val="16"/>
          <w:vertAlign w:val="superscript"/>
        </w:rPr>
        <w:t>1</w:t>
      </w:r>
      <w:r w:rsidRPr="00733F5E">
        <w:rPr>
          <w:rFonts w:asciiTheme="minorHAnsi" w:hAnsiTheme="minorHAnsi" w:cstheme="minorHAnsi"/>
          <w:color w:val="000000"/>
          <w:spacing w:val="-6"/>
          <w:sz w:val="16"/>
          <w:szCs w:val="16"/>
          <w:lang w:val="pt-BR"/>
        </w:rPr>
        <w:t>Graduando em Medicina, Faculdade Metropolitana de Rondônia, Porto Velho, RO, Brasil</w:t>
      </w:r>
      <w:r w:rsidR="00605FFB">
        <w:rPr>
          <w:rFonts w:asciiTheme="minorHAnsi" w:hAnsiTheme="minorHAnsi" w:cstheme="minorHAnsi"/>
          <w:color w:val="000000"/>
          <w:spacing w:val="-6"/>
          <w:sz w:val="16"/>
          <w:szCs w:val="16"/>
          <w:lang w:val="pt-BR"/>
        </w:rPr>
        <w:t xml:space="preserve">, </w:t>
      </w:r>
      <w:r w:rsidR="00605FFB" w:rsidRPr="00605FFB">
        <w:rPr>
          <w:rFonts w:asciiTheme="minorHAnsi" w:hAnsiTheme="minorHAnsi" w:cstheme="minorHAnsi"/>
          <w:color w:val="000000"/>
          <w:spacing w:val="-6"/>
          <w:sz w:val="16"/>
          <w:szCs w:val="16"/>
          <w:lang w:val="pt-BR"/>
        </w:rPr>
        <w:t>icaromends01@gmail.com</w:t>
      </w:r>
      <w:r w:rsidRPr="00733F5E">
        <w:rPr>
          <w:rFonts w:asciiTheme="minorHAnsi" w:hAnsiTheme="minorHAnsi" w:cstheme="minorHAnsi"/>
          <w:color w:val="000000"/>
          <w:spacing w:val="-6"/>
          <w:sz w:val="16"/>
          <w:szCs w:val="16"/>
          <w:lang w:val="pt-BR"/>
        </w:rPr>
        <w:t>; ²Graduanda em Medicina, Faculdade Metropolitana de Rondônia, Porto Velho, RO, Brasil</w:t>
      </w:r>
      <w:r w:rsidR="00D64C7B">
        <w:rPr>
          <w:rFonts w:asciiTheme="minorHAnsi" w:hAnsiTheme="minorHAnsi" w:cstheme="minorHAnsi"/>
          <w:color w:val="000000"/>
          <w:spacing w:val="-6"/>
          <w:sz w:val="16"/>
          <w:szCs w:val="16"/>
          <w:lang w:val="pt-BR"/>
        </w:rPr>
        <w:t xml:space="preserve">, </w:t>
      </w:r>
      <w:r w:rsidR="004419DC">
        <w:rPr>
          <w:rFonts w:asciiTheme="minorHAnsi" w:hAnsiTheme="minorHAnsi" w:cstheme="minorHAnsi"/>
          <w:color w:val="000000"/>
          <w:spacing w:val="-6"/>
          <w:sz w:val="16"/>
          <w:szCs w:val="16"/>
          <w:lang w:val="pt-BR"/>
        </w:rPr>
        <w:t>v</w:t>
      </w:r>
      <w:r w:rsidR="00D64C7B" w:rsidRPr="00D64C7B">
        <w:rPr>
          <w:rFonts w:asciiTheme="minorHAnsi" w:hAnsiTheme="minorHAnsi" w:cstheme="minorHAnsi"/>
          <w:color w:val="000000"/>
          <w:spacing w:val="-6"/>
          <w:sz w:val="16"/>
          <w:szCs w:val="16"/>
          <w:lang w:val="pt-BR"/>
        </w:rPr>
        <w:t>elosolaura03@gmail.com</w:t>
      </w:r>
      <w:r w:rsidRPr="00733F5E">
        <w:rPr>
          <w:rFonts w:asciiTheme="minorHAnsi" w:hAnsiTheme="minorHAnsi" w:cstheme="minorHAnsi"/>
          <w:color w:val="000000"/>
          <w:spacing w:val="-6"/>
          <w:sz w:val="16"/>
          <w:szCs w:val="16"/>
          <w:lang w:val="pt-BR"/>
        </w:rPr>
        <w:t>; ³Graduanda em Medicina, Faculdade Metropolitana de Rondônia, Porto Velho, RO, Brasil</w:t>
      </w:r>
      <w:r w:rsidR="00065B5A">
        <w:rPr>
          <w:rFonts w:asciiTheme="minorHAnsi" w:hAnsiTheme="minorHAnsi" w:cstheme="minorHAnsi"/>
          <w:color w:val="000000"/>
          <w:spacing w:val="-6"/>
          <w:sz w:val="16"/>
          <w:szCs w:val="16"/>
          <w:lang w:val="pt-BR"/>
        </w:rPr>
        <w:t>,</w:t>
      </w:r>
      <w:r w:rsidR="00F030A4">
        <w:rPr>
          <w:rFonts w:asciiTheme="minorHAnsi" w:hAnsiTheme="minorHAnsi" w:cstheme="minorHAnsi"/>
          <w:color w:val="000000"/>
          <w:spacing w:val="-6"/>
          <w:sz w:val="16"/>
          <w:szCs w:val="16"/>
          <w:lang w:val="pt-BR"/>
        </w:rPr>
        <w:t xml:space="preserve"> </w:t>
      </w:r>
      <w:r w:rsidR="00F030A4" w:rsidRPr="00F030A4">
        <w:rPr>
          <w:rFonts w:asciiTheme="minorHAnsi" w:hAnsiTheme="minorHAnsi" w:cstheme="minorHAnsi"/>
          <w:color w:val="000000"/>
          <w:spacing w:val="-6"/>
          <w:sz w:val="16"/>
          <w:szCs w:val="16"/>
          <w:lang w:val="pt-BR"/>
        </w:rPr>
        <w:t>luizabrgs.4@gmail.com</w:t>
      </w:r>
      <w:r w:rsidRPr="00733F5E">
        <w:rPr>
          <w:rFonts w:asciiTheme="minorHAnsi" w:hAnsiTheme="minorHAnsi" w:cstheme="minorHAnsi"/>
          <w:color w:val="000000"/>
          <w:spacing w:val="-6"/>
          <w:sz w:val="16"/>
          <w:szCs w:val="16"/>
          <w:lang w:val="pt-BR"/>
        </w:rPr>
        <w:t>; ⁴Professora do Curso de Medicina, Faculdade Metropolitana de Rondônia, Porto Velho, RO, Brasil</w:t>
      </w:r>
      <w:r w:rsidR="008C165C">
        <w:rPr>
          <w:rFonts w:asciiTheme="minorHAnsi" w:hAnsiTheme="minorHAnsi" w:cstheme="minorHAnsi"/>
          <w:color w:val="000000"/>
          <w:spacing w:val="-6"/>
          <w:sz w:val="16"/>
          <w:szCs w:val="16"/>
        </w:rPr>
        <w:t xml:space="preserve">, </w:t>
      </w:r>
      <w:r w:rsidR="008C165C" w:rsidRPr="008C165C">
        <w:rPr>
          <w:rFonts w:asciiTheme="minorHAnsi" w:hAnsiTheme="minorHAnsi" w:cstheme="minorHAnsi"/>
          <w:color w:val="000000"/>
          <w:spacing w:val="-6"/>
          <w:sz w:val="16"/>
          <w:szCs w:val="16"/>
        </w:rPr>
        <w:t>prof.marciana.froio@fimca.com.br</w:t>
      </w:r>
      <w:r w:rsidR="008C165C">
        <w:rPr>
          <w:rFonts w:asciiTheme="minorHAnsi" w:hAnsiTheme="minorHAnsi" w:cstheme="minorHAnsi"/>
          <w:color w:val="000000"/>
          <w:spacing w:val="-6"/>
          <w:sz w:val="16"/>
          <w:szCs w:val="16"/>
        </w:rPr>
        <w:t>.</w:t>
      </w:r>
    </w:p>
    <w:p w14:paraId="5DED0E11" w14:textId="37A9B198" w:rsidR="009714F5" w:rsidRPr="0034069E" w:rsidRDefault="00761EA9" w:rsidP="00AE4343">
      <w:pPr>
        <w:spacing w:line="244" w:lineRule="auto"/>
        <w:ind w:hanging="10"/>
        <w:jc w:val="both"/>
        <w:rPr>
          <w:rFonts w:ascii="Calibri" w:hAnsi="Calibri"/>
          <w:spacing w:val="-6"/>
          <w:sz w:val="16"/>
        </w:rPr>
      </w:pPr>
      <w:r w:rsidRPr="0034069E">
        <w:rPr>
          <w:rFonts w:ascii="Calibri"/>
          <w:b/>
          <w:noProof/>
          <w:spacing w:val="-6"/>
          <w:sz w:val="16"/>
          <w:lang w:val="en-US"/>
        </w:rPr>
        <mc:AlternateContent>
          <mc:Choice Requires="wps">
            <w:drawing>
              <wp:anchor distT="0" distB="0" distL="114300" distR="114300" simplePos="0" relativeHeight="251661312" behindDoc="0" locked="0" layoutInCell="1" allowOverlap="1" wp14:anchorId="5E252AEC" wp14:editId="02A9F0F6">
                <wp:simplePos x="0" y="0"/>
                <wp:positionH relativeFrom="margin">
                  <wp:posOffset>-5080</wp:posOffset>
                </wp:positionH>
                <wp:positionV relativeFrom="paragraph">
                  <wp:posOffset>1123</wp:posOffset>
                </wp:positionV>
                <wp:extent cx="6394450" cy="0"/>
                <wp:effectExtent l="0" t="0" r="0" b="0"/>
                <wp:wrapNone/>
                <wp:docPr id="729108436" name="Conector reto 10"/>
                <wp:cNvGraphicFramePr/>
                <a:graphic xmlns:a="http://schemas.openxmlformats.org/drawingml/2006/main">
                  <a:graphicData uri="http://schemas.microsoft.com/office/word/2010/wordprocessingShape">
                    <wps:wsp>
                      <wps:cNvCnPr/>
                      <wps:spPr>
                        <a:xfrm flipV="1">
                          <a:off x="0" y="0"/>
                          <a:ext cx="63944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B5607" id="Conector reto 10"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pt" to="503.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" strokecolor="black [3040]" strokeweight=".5pt">
                <w10:wrap anchorx="margin"/>
              </v:line>
            </w:pict>
          </mc:Fallback>
        </mc:AlternateContent>
      </w:r>
      <w:r w:rsidR="00F658D9" w:rsidRPr="0034069E">
        <w:rPr>
          <w:rFonts w:ascii="Calibri" w:hAnsi="Calibri"/>
          <w:spacing w:val="-6"/>
          <w:sz w:val="16"/>
        </w:rPr>
        <w:t>DOI:</w:t>
      </w:r>
      <w:r w:rsidR="00F658D9" w:rsidRPr="0034069E">
        <w:rPr>
          <w:rFonts w:ascii="Calibri" w:hAnsi="Calibri"/>
          <w:spacing w:val="-6"/>
          <w:sz w:val="16"/>
          <w:u w:val="single"/>
        </w:rPr>
        <w:t xml:space="preserve"> </w:t>
      </w:r>
      <w:hyperlink r:id="rId10" w:history="1">
        <w:r w:rsidR="009C3DA7">
          <w:rPr>
            <w:rStyle w:val="Hyperlink"/>
            <w:rFonts w:ascii="Calibri" w:hAnsi="Calibri"/>
            <w:spacing w:val="-6"/>
            <w:sz w:val="16"/>
          </w:rPr>
          <w:t>https://doi.org/10.37157/fimca.v12i1.1122</w:t>
        </w:r>
      </w:hyperlink>
    </w:p>
    <w:p w14:paraId="6A419843" w14:textId="2717BD6C" w:rsidR="009714F5" w:rsidRDefault="00F658D9" w:rsidP="00AE4343">
      <w:pPr>
        <w:spacing w:before="75"/>
        <w:ind w:hanging="10"/>
        <w:rPr>
          <w:rFonts w:ascii="Calibri"/>
          <w:b/>
          <w:sz w:val="16"/>
        </w:rPr>
      </w:pPr>
      <w:r>
        <w:rPr>
          <w:rFonts w:ascii="Calibri"/>
          <w:b/>
          <w:spacing w:val="-2"/>
          <w:sz w:val="16"/>
        </w:rPr>
        <w:t>RESUMO</w:t>
      </w:r>
    </w:p>
    <w:p w14:paraId="584AEB21" w14:textId="77777777" w:rsidR="00E9388C" w:rsidRPr="002F073B" w:rsidRDefault="00E9388C" w:rsidP="00B60379">
      <w:pPr>
        <w:pBdr>
          <w:top w:val="nil"/>
          <w:left w:val="nil"/>
          <w:bottom w:val="nil"/>
          <w:right w:val="nil"/>
          <w:between w:val="nil"/>
        </w:pBdr>
        <w:spacing w:after="60"/>
        <w:ind w:right="297"/>
        <w:jc w:val="both"/>
        <w:rPr>
          <w:rFonts w:asciiTheme="majorHAnsi" w:hAnsiTheme="majorHAnsi" w:cstheme="majorHAnsi"/>
          <w:color w:val="000000"/>
          <w:spacing w:val="-6"/>
          <w:sz w:val="16"/>
          <w:szCs w:val="16"/>
        </w:rPr>
      </w:pPr>
      <w:r w:rsidRPr="002F073B">
        <w:rPr>
          <w:rFonts w:asciiTheme="majorHAnsi" w:hAnsiTheme="majorHAnsi" w:cstheme="majorHAnsi"/>
          <w:color w:val="000000"/>
          <w:spacing w:val="-6"/>
          <w:sz w:val="16"/>
          <w:szCs w:val="16"/>
        </w:rPr>
        <w:t xml:space="preserve">Este estudo aborda a neurobiologia do Transtorno de Déficit de Atenção e Hiperatividade (TDAH) e do Transtorno Afetivo Bipolar (TAB), mapeando suas bases neurais e implicações terapêuticas. </w:t>
      </w:r>
      <w:r w:rsidRPr="002F073B">
        <w:rPr>
          <w:rFonts w:asciiTheme="majorHAnsi" w:hAnsiTheme="majorHAnsi" w:cstheme="majorHAnsi"/>
          <w:b/>
          <w:color w:val="000000"/>
          <w:spacing w:val="-6"/>
          <w:sz w:val="16"/>
          <w:szCs w:val="16"/>
        </w:rPr>
        <w:t>Objetivo geral</w:t>
      </w:r>
      <w:r w:rsidRPr="002F073B">
        <w:rPr>
          <w:rFonts w:asciiTheme="majorHAnsi" w:hAnsiTheme="majorHAnsi" w:cstheme="majorHAnsi"/>
          <w:color w:val="000000"/>
          <w:spacing w:val="-6"/>
          <w:sz w:val="16"/>
          <w:szCs w:val="16"/>
        </w:rPr>
        <w:t xml:space="preserve">: Compreender os mecanismos neurobiológicos subjacentes ao TDAH e ao TAB e suas implicações para o desenvolvimento de intervenções terapêuticas eficazes. </w:t>
      </w:r>
      <w:r w:rsidRPr="002F073B">
        <w:rPr>
          <w:rFonts w:asciiTheme="majorHAnsi" w:hAnsiTheme="majorHAnsi" w:cstheme="majorHAnsi"/>
          <w:b/>
          <w:color w:val="000000"/>
          <w:spacing w:val="-6"/>
          <w:sz w:val="16"/>
          <w:szCs w:val="16"/>
        </w:rPr>
        <w:t>Objetivos específicos</w:t>
      </w:r>
      <w:r w:rsidRPr="002F073B">
        <w:rPr>
          <w:rFonts w:asciiTheme="majorHAnsi" w:hAnsiTheme="majorHAnsi" w:cstheme="majorHAnsi"/>
          <w:color w:val="000000"/>
          <w:spacing w:val="-6"/>
          <w:sz w:val="16"/>
          <w:szCs w:val="16"/>
        </w:rPr>
        <w:t xml:space="preserve">: Identificar alterações </w:t>
      </w:r>
      <w:proofErr w:type="spellStart"/>
      <w:r w:rsidRPr="002F073B">
        <w:rPr>
          <w:rFonts w:asciiTheme="majorHAnsi" w:hAnsiTheme="majorHAnsi" w:cstheme="majorHAnsi"/>
          <w:color w:val="000000"/>
          <w:spacing w:val="-6"/>
          <w:sz w:val="16"/>
          <w:szCs w:val="16"/>
        </w:rPr>
        <w:t>neuroquímicas</w:t>
      </w:r>
      <w:proofErr w:type="spellEnd"/>
      <w:r w:rsidRPr="002F073B">
        <w:rPr>
          <w:rFonts w:asciiTheme="majorHAnsi" w:hAnsiTheme="majorHAnsi" w:cstheme="majorHAnsi"/>
          <w:color w:val="000000"/>
          <w:spacing w:val="-6"/>
          <w:sz w:val="16"/>
          <w:szCs w:val="16"/>
        </w:rPr>
        <w:t xml:space="preserve"> e anatômicas associadas a esses transtornos, avaliar a influência de fatores genéticos e ambientais e analisar abordagens terapêuticas farmacológicas e psicossociais. </w:t>
      </w:r>
      <w:r w:rsidRPr="002F073B">
        <w:rPr>
          <w:rFonts w:asciiTheme="majorHAnsi" w:hAnsiTheme="majorHAnsi" w:cstheme="majorHAnsi"/>
          <w:b/>
          <w:color w:val="000000"/>
          <w:spacing w:val="-6"/>
          <w:sz w:val="16"/>
          <w:szCs w:val="16"/>
        </w:rPr>
        <w:t>Materiais e Métodos</w:t>
      </w:r>
      <w:r w:rsidRPr="002F073B">
        <w:rPr>
          <w:rFonts w:asciiTheme="majorHAnsi" w:hAnsiTheme="majorHAnsi" w:cstheme="majorHAnsi"/>
          <w:color w:val="000000"/>
          <w:spacing w:val="-6"/>
          <w:sz w:val="16"/>
          <w:szCs w:val="16"/>
        </w:rPr>
        <w:t xml:space="preserve">: Trata-se de uma pesquisa bibliográfica, de natureza qualitativa, com abordagem exploratória e descritiva, utilizando fontes de dados de artigos científicos revisados por pares, obtidos em bases como </w:t>
      </w:r>
      <w:proofErr w:type="spellStart"/>
      <w:r w:rsidRPr="002F073B">
        <w:rPr>
          <w:rFonts w:asciiTheme="majorHAnsi" w:hAnsiTheme="majorHAnsi" w:cstheme="majorHAnsi"/>
          <w:color w:val="000000"/>
          <w:spacing w:val="-6"/>
          <w:sz w:val="16"/>
          <w:szCs w:val="16"/>
        </w:rPr>
        <w:t>PubMed</w:t>
      </w:r>
      <w:proofErr w:type="spellEnd"/>
      <w:r w:rsidRPr="002F073B">
        <w:rPr>
          <w:rFonts w:asciiTheme="majorHAnsi" w:hAnsiTheme="majorHAnsi" w:cstheme="majorHAnsi"/>
          <w:color w:val="000000"/>
          <w:spacing w:val="-6"/>
          <w:sz w:val="16"/>
          <w:szCs w:val="16"/>
        </w:rPr>
        <w:t xml:space="preserve">, </w:t>
      </w:r>
      <w:proofErr w:type="spellStart"/>
      <w:r w:rsidRPr="002F073B">
        <w:rPr>
          <w:rFonts w:asciiTheme="majorHAnsi" w:hAnsiTheme="majorHAnsi" w:cstheme="majorHAnsi"/>
          <w:color w:val="000000"/>
          <w:spacing w:val="-6"/>
          <w:sz w:val="16"/>
          <w:szCs w:val="16"/>
        </w:rPr>
        <w:t>PsycINFO</w:t>
      </w:r>
      <w:proofErr w:type="spellEnd"/>
      <w:r w:rsidRPr="002F073B">
        <w:rPr>
          <w:rFonts w:asciiTheme="majorHAnsi" w:hAnsiTheme="majorHAnsi" w:cstheme="majorHAnsi"/>
          <w:color w:val="000000"/>
          <w:spacing w:val="-6"/>
          <w:sz w:val="16"/>
          <w:szCs w:val="16"/>
        </w:rPr>
        <w:t xml:space="preserve"> e Web </w:t>
      </w:r>
      <w:proofErr w:type="spellStart"/>
      <w:r w:rsidRPr="002F073B">
        <w:rPr>
          <w:rFonts w:asciiTheme="majorHAnsi" w:hAnsiTheme="majorHAnsi" w:cstheme="majorHAnsi"/>
          <w:color w:val="000000"/>
          <w:spacing w:val="-6"/>
          <w:sz w:val="16"/>
          <w:szCs w:val="16"/>
        </w:rPr>
        <w:t>of</w:t>
      </w:r>
      <w:proofErr w:type="spellEnd"/>
      <w:r w:rsidRPr="002F073B">
        <w:rPr>
          <w:rFonts w:asciiTheme="majorHAnsi" w:hAnsiTheme="majorHAnsi" w:cstheme="majorHAnsi"/>
          <w:color w:val="000000"/>
          <w:spacing w:val="-6"/>
          <w:sz w:val="16"/>
          <w:szCs w:val="16"/>
        </w:rPr>
        <w:t xml:space="preserve"> </w:t>
      </w:r>
      <w:proofErr w:type="spellStart"/>
      <w:r w:rsidRPr="002F073B">
        <w:rPr>
          <w:rFonts w:asciiTheme="majorHAnsi" w:hAnsiTheme="majorHAnsi" w:cstheme="majorHAnsi"/>
          <w:color w:val="000000"/>
          <w:spacing w:val="-6"/>
          <w:sz w:val="16"/>
          <w:szCs w:val="16"/>
        </w:rPr>
        <w:t>Science</w:t>
      </w:r>
      <w:proofErr w:type="spellEnd"/>
      <w:r w:rsidRPr="002F073B">
        <w:rPr>
          <w:rFonts w:asciiTheme="majorHAnsi" w:hAnsiTheme="majorHAnsi" w:cstheme="majorHAnsi"/>
          <w:color w:val="000000"/>
          <w:spacing w:val="-6"/>
          <w:sz w:val="16"/>
          <w:szCs w:val="16"/>
        </w:rPr>
        <w:t xml:space="preserve">, além de manuais diagnósticos (DSM-5 e CID-10). </w:t>
      </w:r>
      <w:r w:rsidRPr="002F073B">
        <w:rPr>
          <w:rFonts w:asciiTheme="majorHAnsi" w:hAnsiTheme="majorHAnsi" w:cstheme="majorHAnsi"/>
          <w:b/>
          <w:color w:val="000000"/>
          <w:spacing w:val="-6"/>
          <w:sz w:val="16"/>
          <w:szCs w:val="16"/>
        </w:rPr>
        <w:t>Resultados esperados</w:t>
      </w:r>
      <w:r w:rsidRPr="002F073B">
        <w:rPr>
          <w:rFonts w:asciiTheme="majorHAnsi" w:hAnsiTheme="majorHAnsi" w:cstheme="majorHAnsi"/>
          <w:color w:val="000000"/>
          <w:spacing w:val="-6"/>
          <w:sz w:val="16"/>
          <w:szCs w:val="16"/>
        </w:rPr>
        <w:t xml:space="preserve">: Identificação de disfunções nos sistemas dopaminérgico e </w:t>
      </w:r>
      <w:proofErr w:type="spellStart"/>
      <w:r w:rsidRPr="002F073B">
        <w:rPr>
          <w:rFonts w:asciiTheme="majorHAnsi" w:hAnsiTheme="majorHAnsi" w:cstheme="majorHAnsi"/>
          <w:color w:val="000000"/>
          <w:spacing w:val="-6"/>
          <w:sz w:val="16"/>
          <w:szCs w:val="16"/>
        </w:rPr>
        <w:t>noradrenérgico</w:t>
      </w:r>
      <w:proofErr w:type="spellEnd"/>
      <w:r w:rsidRPr="002F073B">
        <w:rPr>
          <w:rFonts w:asciiTheme="majorHAnsi" w:hAnsiTheme="majorHAnsi" w:cstheme="majorHAnsi"/>
          <w:color w:val="000000"/>
          <w:spacing w:val="-6"/>
          <w:sz w:val="16"/>
          <w:szCs w:val="16"/>
        </w:rPr>
        <w:t xml:space="preserve"> no TDAH, com alterações no córtex pré-frontal, e desregulação </w:t>
      </w:r>
      <w:proofErr w:type="spellStart"/>
      <w:r w:rsidRPr="002F073B">
        <w:rPr>
          <w:rFonts w:asciiTheme="majorHAnsi" w:hAnsiTheme="majorHAnsi" w:cstheme="majorHAnsi"/>
          <w:color w:val="000000"/>
          <w:spacing w:val="-6"/>
          <w:sz w:val="16"/>
          <w:szCs w:val="16"/>
        </w:rPr>
        <w:t>monoaminérgica</w:t>
      </w:r>
      <w:proofErr w:type="spellEnd"/>
      <w:r w:rsidRPr="002F073B">
        <w:rPr>
          <w:rFonts w:asciiTheme="majorHAnsi" w:hAnsiTheme="majorHAnsi" w:cstheme="majorHAnsi"/>
          <w:color w:val="000000"/>
          <w:spacing w:val="-6"/>
          <w:sz w:val="16"/>
          <w:szCs w:val="16"/>
        </w:rPr>
        <w:t xml:space="preserve"> no TAB, com impacto na amígdala e córtex pré-frontal ventral. Espera-se que os achados reforcem a eficácia de </w:t>
      </w:r>
      <w:proofErr w:type="spellStart"/>
      <w:r w:rsidRPr="002F073B">
        <w:rPr>
          <w:rFonts w:asciiTheme="majorHAnsi" w:hAnsiTheme="majorHAnsi" w:cstheme="majorHAnsi"/>
          <w:color w:val="000000"/>
          <w:spacing w:val="-6"/>
          <w:sz w:val="16"/>
          <w:szCs w:val="16"/>
        </w:rPr>
        <w:t>psicoestimulantes</w:t>
      </w:r>
      <w:proofErr w:type="spellEnd"/>
      <w:r w:rsidRPr="002F073B">
        <w:rPr>
          <w:rFonts w:asciiTheme="majorHAnsi" w:hAnsiTheme="majorHAnsi" w:cstheme="majorHAnsi"/>
          <w:color w:val="000000"/>
          <w:spacing w:val="-6"/>
          <w:sz w:val="16"/>
          <w:szCs w:val="16"/>
        </w:rPr>
        <w:t xml:space="preserve"> (TDAH) e estabilizadores de humor (TAB), além de intervenções psicoterapêuticas como a Terapia Cognitivo-Comportamental. </w:t>
      </w:r>
      <w:r w:rsidRPr="002F073B">
        <w:rPr>
          <w:rFonts w:asciiTheme="majorHAnsi" w:hAnsiTheme="majorHAnsi" w:cstheme="majorHAnsi"/>
          <w:b/>
          <w:color w:val="000000"/>
          <w:spacing w:val="-6"/>
          <w:sz w:val="16"/>
          <w:szCs w:val="16"/>
        </w:rPr>
        <w:t>Considerações finais</w:t>
      </w:r>
      <w:r w:rsidRPr="002F073B">
        <w:rPr>
          <w:rFonts w:asciiTheme="majorHAnsi" w:hAnsiTheme="majorHAnsi" w:cstheme="majorHAnsi"/>
          <w:color w:val="000000"/>
          <w:spacing w:val="-6"/>
          <w:sz w:val="16"/>
          <w:szCs w:val="16"/>
        </w:rPr>
        <w:t xml:space="preserve">: A pesquisa destaca a necessidade de abordagens terapêuticas personalizadas, considerando a heterogeneidade neurobiológica e clínica desses transtornos, contribuindo para avanços no diagnóstico e tratamento. </w:t>
      </w:r>
    </w:p>
    <w:p w14:paraId="4703A2F8" w14:textId="0F19745C" w:rsidR="0050534C" w:rsidRDefault="00F658D9" w:rsidP="0050534C">
      <w:pPr>
        <w:pBdr>
          <w:top w:val="nil"/>
          <w:left w:val="nil"/>
          <w:bottom w:val="nil"/>
          <w:right w:val="nil"/>
          <w:between w:val="nil"/>
        </w:pBdr>
        <w:rPr>
          <w:rFonts w:asciiTheme="minorHAnsi" w:hAnsiTheme="minorHAnsi" w:cstheme="minorHAnsi"/>
          <w:color w:val="000000"/>
          <w:sz w:val="16"/>
          <w:szCs w:val="16"/>
        </w:rPr>
      </w:pPr>
      <w:r w:rsidRPr="00404E5F">
        <w:rPr>
          <w:rFonts w:ascii="Calibri" w:hAnsi="Calibri"/>
          <w:b/>
          <w:spacing w:val="-2"/>
          <w:sz w:val="16"/>
          <w:lang w:val="pt-BR"/>
        </w:rPr>
        <w:t>Palavra</w:t>
      </w:r>
      <w:r w:rsidR="00404E5F">
        <w:rPr>
          <w:rFonts w:ascii="Calibri" w:hAnsi="Calibri"/>
          <w:b/>
          <w:spacing w:val="-2"/>
          <w:sz w:val="16"/>
          <w:lang w:val="pt-BR"/>
        </w:rPr>
        <w:t>s</w:t>
      </w:r>
      <w:r w:rsidRPr="00404E5F">
        <w:rPr>
          <w:rFonts w:ascii="Calibri" w:hAnsi="Calibri"/>
          <w:b/>
          <w:spacing w:val="-2"/>
          <w:sz w:val="16"/>
          <w:lang w:val="pt-BR"/>
        </w:rPr>
        <w:t xml:space="preserve">-chave: </w:t>
      </w:r>
      <w:proofErr w:type="spellStart"/>
      <w:r w:rsidR="004C3AA6" w:rsidRPr="004C3AA6">
        <w:rPr>
          <w:rFonts w:asciiTheme="majorHAnsi" w:hAnsiTheme="majorHAnsi" w:cstheme="majorHAnsi"/>
          <w:color w:val="000000"/>
          <w:spacing w:val="-6"/>
          <w:sz w:val="16"/>
          <w:szCs w:val="16"/>
          <w:lang w:val="pt-BR"/>
        </w:rPr>
        <w:t>Neurobiology</w:t>
      </w:r>
      <w:proofErr w:type="spellEnd"/>
      <w:r w:rsidR="00A05B2D">
        <w:rPr>
          <w:rFonts w:asciiTheme="majorHAnsi" w:hAnsiTheme="majorHAnsi" w:cstheme="majorHAnsi"/>
          <w:color w:val="000000"/>
          <w:spacing w:val="-6"/>
          <w:sz w:val="16"/>
          <w:szCs w:val="16"/>
          <w:lang w:val="pt-BR"/>
        </w:rPr>
        <w:t>,</w:t>
      </w:r>
      <w:r w:rsidR="004C3AA6" w:rsidRPr="004C3AA6">
        <w:rPr>
          <w:rFonts w:asciiTheme="majorHAnsi" w:hAnsiTheme="majorHAnsi" w:cstheme="majorHAnsi"/>
          <w:color w:val="000000"/>
          <w:spacing w:val="-6"/>
          <w:sz w:val="16"/>
          <w:szCs w:val="16"/>
          <w:lang w:val="pt-BR"/>
        </w:rPr>
        <w:t xml:space="preserve"> ADHD</w:t>
      </w:r>
      <w:r w:rsidR="00A05B2D">
        <w:rPr>
          <w:rFonts w:asciiTheme="majorHAnsi" w:hAnsiTheme="majorHAnsi" w:cstheme="majorHAnsi"/>
          <w:color w:val="000000"/>
          <w:spacing w:val="-6"/>
          <w:sz w:val="16"/>
          <w:szCs w:val="16"/>
          <w:lang w:val="pt-BR"/>
        </w:rPr>
        <w:t>,</w:t>
      </w:r>
      <w:r w:rsidR="004C3AA6" w:rsidRPr="004C3AA6">
        <w:rPr>
          <w:rFonts w:asciiTheme="majorHAnsi" w:hAnsiTheme="majorHAnsi" w:cstheme="majorHAnsi"/>
          <w:color w:val="000000"/>
          <w:spacing w:val="-6"/>
          <w:sz w:val="16"/>
          <w:szCs w:val="16"/>
          <w:lang w:val="pt-BR"/>
        </w:rPr>
        <w:t xml:space="preserve"> Bipolar </w:t>
      </w:r>
      <w:proofErr w:type="spellStart"/>
      <w:r w:rsidR="004C3AA6" w:rsidRPr="004C3AA6">
        <w:rPr>
          <w:rFonts w:asciiTheme="majorHAnsi" w:hAnsiTheme="majorHAnsi" w:cstheme="majorHAnsi"/>
          <w:color w:val="000000"/>
          <w:spacing w:val="-6"/>
          <w:sz w:val="16"/>
          <w:szCs w:val="16"/>
          <w:lang w:val="pt-BR"/>
        </w:rPr>
        <w:t>Disorder</w:t>
      </w:r>
      <w:proofErr w:type="spellEnd"/>
      <w:r w:rsidR="00A05B2D">
        <w:rPr>
          <w:rFonts w:asciiTheme="majorHAnsi" w:hAnsiTheme="majorHAnsi" w:cstheme="majorHAnsi"/>
          <w:color w:val="000000"/>
          <w:spacing w:val="-6"/>
          <w:sz w:val="16"/>
          <w:szCs w:val="16"/>
          <w:lang w:val="pt-BR"/>
        </w:rPr>
        <w:t>,</w:t>
      </w:r>
      <w:r w:rsidR="004C3AA6" w:rsidRPr="004C3AA6">
        <w:rPr>
          <w:rFonts w:asciiTheme="majorHAnsi" w:hAnsiTheme="majorHAnsi" w:cstheme="majorHAnsi"/>
          <w:color w:val="000000"/>
          <w:spacing w:val="-6"/>
          <w:sz w:val="16"/>
          <w:szCs w:val="16"/>
          <w:lang w:val="pt-BR"/>
        </w:rPr>
        <w:t xml:space="preserve"> </w:t>
      </w:r>
      <w:proofErr w:type="spellStart"/>
      <w:r w:rsidR="004C3AA6" w:rsidRPr="002F073B">
        <w:rPr>
          <w:rFonts w:asciiTheme="majorHAnsi" w:hAnsiTheme="majorHAnsi" w:cstheme="majorHAnsi"/>
          <w:color w:val="000000"/>
          <w:spacing w:val="-6"/>
          <w:sz w:val="16"/>
          <w:szCs w:val="16"/>
        </w:rPr>
        <w:t>Pharmacological</w:t>
      </w:r>
      <w:proofErr w:type="spellEnd"/>
      <w:r w:rsidR="004C3AA6" w:rsidRPr="002F073B">
        <w:rPr>
          <w:rFonts w:asciiTheme="majorHAnsi" w:hAnsiTheme="majorHAnsi" w:cstheme="majorHAnsi"/>
          <w:color w:val="000000"/>
          <w:spacing w:val="-6"/>
          <w:sz w:val="16"/>
          <w:szCs w:val="16"/>
        </w:rPr>
        <w:t xml:space="preserve"> </w:t>
      </w:r>
      <w:proofErr w:type="spellStart"/>
      <w:r w:rsidR="004C3AA6" w:rsidRPr="002F073B">
        <w:rPr>
          <w:rFonts w:asciiTheme="majorHAnsi" w:hAnsiTheme="majorHAnsi" w:cstheme="majorHAnsi"/>
          <w:color w:val="000000"/>
          <w:spacing w:val="-6"/>
          <w:sz w:val="16"/>
          <w:szCs w:val="16"/>
        </w:rPr>
        <w:t>Therapies</w:t>
      </w:r>
      <w:proofErr w:type="spellEnd"/>
      <w:r w:rsidR="00A05B2D">
        <w:rPr>
          <w:rFonts w:asciiTheme="majorHAnsi" w:hAnsiTheme="majorHAnsi" w:cstheme="majorHAnsi"/>
          <w:color w:val="000000"/>
          <w:spacing w:val="-6"/>
          <w:sz w:val="16"/>
          <w:szCs w:val="16"/>
        </w:rPr>
        <w:t>,</w:t>
      </w:r>
      <w:r w:rsidR="004C3AA6" w:rsidRPr="002F073B">
        <w:rPr>
          <w:rFonts w:asciiTheme="majorHAnsi" w:hAnsiTheme="majorHAnsi" w:cstheme="majorHAnsi"/>
          <w:color w:val="000000"/>
          <w:spacing w:val="-6"/>
          <w:sz w:val="16"/>
          <w:szCs w:val="16"/>
        </w:rPr>
        <w:t xml:space="preserve"> </w:t>
      </w:r>
      <w:proofErr w:type="spellStart"/>
      <w:r w:rsidR="004C3AA6" w:rsidRPr="002F073B">
        <w:rPr>
          <w:rFonts w:asciiTheme="majorHAnsi" w:hAnsiTheme="majorHAnsi" w:cstheme="majorHAnsi"/>
          <w:color w:val="000000"/>
          <w:spacing w:val="-6"/>
          <w:sz w:val="16"/>
          <w:szCs w:val="16"/>
        </w:rPr>
        <w:t>Psychotherapy</w:t>
      </w:r>
      <w:proofErr w:type="spellEnd"/>
      <w:r w:rsidR="0050534C" w:rsidRPr="008F4E05">
        <w:rPr>
          <w:rFonts w:asciiTheme="minorHAnsi" w:hAnsiTheme="minorHAnsi" w:cstheme="minorHAnsi"/>
          <w:color w:val="000000"/>
          <w:sz w:val="16"/>
          <w:szCs w:val="16"/>
        </w:rPr>
        <w:t>.</w:t>
      </w:r>
    </w:p>
    <w:p w14:paraId="3D7F1DA5" w14:textId="77777777" w:rsidR="0043634E" w:rsidRPr="008F4E05" w:rsidRDefault="0043634E" w:rsidP="0050534C">
      <w:pPr>
        <w:pBdr>
          <w:top w:val="nil"/>
          <w:left w:val="nil"/>
          <w:bottom w:val="nil"/>
          <w:right w:val="nil"/>
          <w:between w:val="nil"/>
        </w:pBdr>
        <w:rPr>
          <w:rFonts w:asciiTheme="minorHAnsi" w:hAnsiTheme="minorHAnsi" w:cstheme="minorHAnsi"/>
          <w:color w:val="000000"/>
          <w:sz w:val="16"/>
          <w:szCs w:val="16"/>
        </w:rPr>
      </w:pPr>
    </w:p>
    <w:p w14:paraId="1C7BD0CC" w14:textId="718FDFE1" w:rsidR="009714F5" w:rsidRPr="00F658D9" w:rsidRDefault="00F658D9" w:rsidP="0050534C">
      <w:pPr>
        <w:spacing w:before="1"/>
        <w:ind w:hanging="10"/>
        <w:jc w:val="both"/>
        <w:rPr>
          <w:rFonts w:ascii="Calibri"/>
          <w:b/>
          <w:sz w:val="16"/>
          <w:lang w:val="en-US"/>
        </w:rPr>
      </w:pPr>
      <w:r w:rsidRPr="00F658D9">
        <w:rPr>
          <w:rFonts w:ascii="Calibri"/>
          <w:b/>
          <w:spacing w:val="-2"/>
          <w:sz w:val="16"/>
          <w:lang w:val="en-US"/>
        </w:rPr>
        <w:t>ABSTRACT</w:t>
      </w:r>
    </w:p>
    <w:p w14:paraId="172C1B2D" w14:textId="77777777" w:rsidR="000673DF" w:rsidRPr="002F073B" w:rsidRDefault="000673DF" w:rsidP="00B60379">
      <w:pPr>
        <w:pBdr>
          <w:top w:val="nil"/>
          <w:left w:val="nil"/>
          <w:bottom w:val="nil"/>
          <w:right w:val="nil"/>
          <w:between w:val="nil"/>
        </w:pBdr>
        <w:spacing w:after="60"/>
        <w:jc w:val="both"/>
        <w:rPr>
          <w:rFonts w:asciiTheme="majorHAnsi" w:hAnsiTheme="majorHAnsi" w:cstheme="majorHAnsi"/>
          <w:color w:val="000000"/>
          <w:spacing w:val="-6"/>
          <w:sz w:val="16"/>
          <w:szCs w:val="16"/>
          <w:lang w:val="en-US"/>
        </w:rPr>
      </w:pPr>
      <w:r w:rsidRPr="002F073B">
        <w:rPr>
          <w:rFonts w:asciiTheme="majorHAnsi" w:hAnsiTheme="majorHAnsi" w:cstheme="majorHAnsi"/>
          <w:color w:val="000000"/>
          <w:spacing w:val="-6"/>
          <w:sz w:val="16"/>
          <w:szCs w:val="16"/>
          <w:lang w:val="en-US"/>
        </w:rPr>
        <w:t xml:space="preserve">This study investigates the neurobiology of </w:t>
      </w:r>
      <w:proofErr w:type="gramStart"/>
      <w:r w:rsidRPr="002F073B">
        <w:rPr>
          <w:rFonts w:asciiTheme="majorHAnsi" w:hAnsiTheme="majorHAnsi" w:cstheme="majorHAnsi"/>
          <w:color w:val="000000"/>
          <w:spacing w:val="-6"/>
          <w:sz w:val="16"/>
          <w:szCs w:val="16"/>
          <w:lang w:val="en-US"/>
        </w:rPr>
        <w:t>Attention Deficit Hyperactivity Disorder</w:t>
      </w:r>
      <w:proofErr w:type="gramEnd"/>
      <w:r w:rsidRPr="002F073B">
        <w:rPr>
          <w:rFonts w:asciiTheme="majorHAnsi" w:hAnsiTheme="majorHAnsi" w:cstheme="majorHAnsi"/>
          <w:color w:val="000000"/>
          <w:spacing w:val="-6"/>
          <w:sz w:val="16"/>
          <w:szCs w:val="16"/>
          <w:lang w:val="en-US"/>
        </w:rPr>
        <w:t xml:space="preserve"> (ADHD) and Bipolar Affective Disorder (BAD), mapping their neural bases and therapeutic implications. </w:t>
      </w:r>
      <w:r w:rsidRPr="002F073B">
        <w:rPr>
          <w:rFonts w:asciiTheme="majorHAnsi" w:hAnsiTheme="majorHAnsi" w:cstheme="majorHAnsi"/>
          <w:b/>
          <w:color w:val="000000"/>
          <w:spacing w:val="-6"/>
          <w:sz w:val="16"/>
          <w:szCs w:val="16"/>
          <w:lang w:val="en-US"/>
        </w:rPr>
        <w:t>General objective</w:t>
      </w:r>
      <w:r w:rsidRPr="002F073B">
        <w:rPr>
          <w:rFonts w:asciiTheme="majorHAnsi" w:hAnsiTheme="majorHAnsi" w:cstheme="majorHAnsi"/>
          <w:color w:val="000000"/>
          <w:spacing w:val="-6"/>
          <w:sz w:val="16"/>
          <w:szCs w:val="16"/>
          <w:lang w:val="en-US"/>
        </w:rPr>
        <w:t xml:space="preserve">: To understand the neurobiological mechanisms underlying ADHD and BAD and their implications for developing effective therapeutic interventions. </w:t>
      </w:r>
      <w:r w:rsidRPr="002F073B">
        <w:rPr>
          <w:rFonts w:asciiTheme="majorHAnsi" w:hAnsiTheme="majorHAnsi" w:cstheme="majorHAnsi"/>
          <w:b/>
          <w:color w:val="000000"/>
          <w:spacing w:val="-6"/>
          <w:sz w:val="16"/>
          <w:szCs w:val="16"/>
          <w:lang w:val="en-US"/>
        </w:rPr>
        <w:t>Specific objectives</w:t>
      </w:r>
      <w:r w:rsidRPr="002F073B">
        <w:rPr>
          <w:rFonts w:asciiTheme="majorHAnsi" w:hAnsiTheme="majorHAnsi" w:cstheme="majorHAnsi"/>
          <w:color w:val="000000"/>
          <w:spacing w:val="-6"/>
          <w:sz w:val="16"/>
          <w:szCs w:val="16"/>
          <w:lang w:val="en-US"/>
        </w:rPr>
        <w:t xml:space="preserve">: To identify neurochemical and anatomical alterations associated with these disorders, assess the influence of genetic and environmental factors, and analyze pharmacological and psychosocial therapeutic approaches. </w:t>
      </w:r>
      <w:r w:rsidRPr="002F073B">
        <w:rPr>
          <w:rFonts w:asciiTheme="majorHAnsi" w:hAnsiTheme="majorHAnsi" w:cstheme="majorHAnsi"/>
          <w:b/>
          <w:color w:val="000000"/>
          <w:spacing w:val="-6"/>
          <w:sz w:val="16"/>
          <w:szCs w:val="16"/>
          <w:lang w:val="en-US"/>
        </w:rPr>
        <w:t>Materials and Methods</w:t>
      </w:r>
      <w:r w:rsidRPr="002F073B">
        <w:rPr>
          <w:rFonts w:asciiTheme="majorHAnsi" w:hAnsiTheme="majorHAnsi" w:cstheme="majorHAnsi"/>
          <w:color w:val="000000"/>
          <w:spacing w:val="-6"/>
          <w:sz w:val="16"/>
          <w:szCs w:val="16"/>
          <w:lang w:val="en-US"/>
        </w:rPr>
        <w:t xml:space="preserve">: This is a qualitative, exploratory, and descriptive bibliographic research, using data from peer-reviewed scientific articles sourced from databases such as PubMed, PsycINFO, and Web of Science, in addition to diagnostic manuals (DSM-5 and ICD-10). </w:t>
      </w:r>
      <w:r w:rsidRPr="002F073B">
        <w:rPr>
          <w:rFonts w:asciiTheme="majorHAnsi" w:hAnsiTheme="majorHAnsi" w:cstheme="majorHAnsi"/>
          <w:b/>
          <w:color w:val="000000"/>
          <w:spacing w:val="-6"/>
          <w:sz w:val="16"/>
          <w:szCs w:val="16"/>
          <w:lang w:val="en-US"/>
        </w:rPr>
        <w:t>Expected results</w:t>
      </w:r>
      <w:r w:rsidRPr="002F073B">
        <w:rPr>
          <w:rFonts w:asciiTheme="majorHAnsi" w:hAnsiTheme="majorHAnsi" w:cstheme="majorHAnsi"/>
          <w:color w:val="000000"/>
          <w:spacing w:val="-6"/>
          <w:sz w:val="16"/>
          <w:szCs w:val="16"/>
          <w:lang w:val="en-US"/>
        </w:rPr>
        <w:t xml:space="preserve">: Identification of dysfunctions in the dopaminergic and noradrenergic systems in ADHD, with alterations in the prefrontal cortex, and monoaminergic dysregulation in BAD, impacting the amygdala and ventral prefrontal cortex. The findings are expected to support the efficacy of psychostimulants (ADHD) and mood stabilizers (BAD), alongside psychotherapeutic interventions such as Cognitive Behavioral Therapy. </w:t>
      </w:r>
      <w:r w:rsidRPr="002F073B">
        <w:rPr>
          <w:rFonts w:asciiTheme="majorHAnsi" w:hAnsiTheme="majorHAnsi" w:cstheme="majorHAnsi"/>
          <w:b/>
          <w:color w:val="000000"/>
          <w:spacing w:val="-6"/>
          <w:sz w:val="16"/>
          <w:szCs w:val="16"/>
          <w:lang w:val="en-US"/>
        </w:rPr>
        <w:t>Final considerations</w:t>
      </w:r>
      <w:r w:rsidRPr="002F073B">
        <w:rPr>
          <w:rFonts w:asciiTheme="majorHAnsi" w:hAnsiTheme="majorHAnsi" w:cstheme="majorHAnsi"/>
          <w:color w:val="000000"/>
          <w:spacing w:val="-6"/>
          <w:sz w:val="16"/>
          <w:szCs w:val="16"/>
          <w:lang w:val="en-US"/>
        </w:rPr>
        <w:t>: The research underscores the need for personalized therapeutic approaches, considering the neurobiological and clinical heterogeneity of these disorders, contributing to advances in diagnosis and treatment.</w:t>
      </w:r>
    </w:p>
    <w:p w14:paraId="5E1313D1" w14:textId="6ACF03BB" w:rsidR="009714F5" w:rsidRPr="00F658D9" w:rsidRDefault="00F658D9" w:rsidP="00AE4343">
      <w:pPr>
        <w:spacing w:before="2"/>
        <w:ind w:hanging="10"/>
        <w:jc w:val="both"/>
        <w:rPr>
          <w:rFonts w:ascii="Calibri"/>
          <w:sz w:val="16"/>
          <w:lang w:val="en-US"/>
        </w:rPr>
      </w:pPr>
      <w:r w:rsidRPr="00F658D9">
        <w:rPr>
          <w:rFonts w:ascii="Calibri"/>
          <w:b/>
          <w:spacing w:val="-6"/>
          <w:sz w:val="16"/>
          <w:lang w:val="en-US"/>
        </w:rPr>
        <w:t>Keywords</w:t>
      </w:r>
      <w:r w:rsidRPr="00F658D9">
        <w:rPr>
          <w:rFonts w:ascii="Calibri"/>
          <w:spacing w:val="-6"/>
          <w:sz w:val="16"/>
          <w:lang w:val="en-US"/>
        </w:rPr>
        <w:t>:</w:t>
      </w:r>
      <w:r w:rsidRPr="00F658D9">
        <w:rPr>
          <w:rFonts w:ascii="Calibri"/>
          <w:spacing w:val="15"/>
          <w:sz w:val="16"/>
          <w:lang w:val="en-US"/>
        </w:rPr>
        <w:t xml:space="preserve"> </w:t>
      </w:r>
      <w:r w:rsidR="00746CC5" w:rsidRPr="002F073B">
        <w:rPr>
          <w:rFonts w:asciiTheme="majorHAnsi" w:hAnsiTheme="majorHAnsi" w:cstheme="majorHAnsi"/>
          <w:color w:val="000000"/>
          <w:spacing w:val="-6"/>
          <w:sz w:val="16"/>
          <w:szCs w:val="16"/>
          <w:lang w:val="en-US"/>
        </w:rPr>
        <w:t>Neurobiology</w:t>
      </w:r>
      <w:r w:rsidR="00B60379">
        <w:rPr>
          <w:rFonts w:asciiTheme="majorHAnsi" w:hAnsiTheme="majorHAnsi" w:cstheme="majorHAnsi"/>
          <w:color w:val="000000"/>
          <w:spacing w:val="-6"/>
          <w:sz w:val="16"/>
          <w:szCs w:val="16"/>
          <w:lang w:val="en-US"/>
        </w:rPr>
        <w:t>,</w:t>
      </w:r>
      <w:r w:rsidR="00746CC5" w:rsidRPr="002F073B">
        <w:rPr>
          <w:rFonts w:asciiTheme="majorHAnsi" w:hAnsiTheme="majorHAnsi" w:cstheme="majorHAnsi"/>
          <w:color w:val="000000"/>
          <w:spacing w:val="-6"/>
          <w:sz w:val="16"/>
          <w:szCs w:val="16"/>
          <w:lang w:val="en-US"/>
        </w:rPr>
        <w:t xml:space="preserve"> ADHD</w:t>
      </w:r>
      <w:r w:rsidR="00B60379">
        <w:rPr>
          <w:rFonts w:asciiTheme="majorHAnsi" w:hAnsiTheme="majorHAnsi" w:cstheme="majorHAnsi"/>
          <w:color w:val="000000"/>
          <w:spacing w:val="-6"/>
          <w:sz w:val="16"/>
          <w:szCs w:val="16"/>
          <w:lang w:val="en-US"/>
        </w:rPr>
        <w:t>,</w:t>
      </w:r>
      <w:r w:rsidR="00746CC5" w:rsidRPr="002F073B">
        <w:rPr>
          <w:rFonts w:asciiTheme="majorHAnsi" w:hAnsiTheme="majorHAnsi" w:cstheme="majorHAnsi"/>
          <w:color w:val="000000"/>
          <w:spacing w:val="-6"/>
          <w:sz w:val="16"/>
          <w:szCs w:val="16"/>
          <w:lang w:val="en-US"/>
        </w:rPr>
        <w:t xml:space="preserve"> Bipolar Disorder</w:t>
      </w:r>
      <w:r w:rsidR="00A05B2D">
        <w:rPr>
          <w:rFonts w:asciiTheme="majorHAnsi" w:hAnsiTheme="majorHAnsi" w:cstheme="majorHAnsi"/>
          <w:color w:val="000000"/>
          <w:spacing w:val="-6"/>
          <w:sz w:val="16"/>
          <w:szCs w:val="16"/>
          <w:lang w:val="en-US"/>
        </w:rPr>
        <w:t>,</w:t>
      </w:r>
      <w:r w:rsidR="00746CC5" w:rsidRPr="002F073B">
        <w:rPr>
          <w:rFonts w:asciiTheme="majorHAnsi" w:hAnsiTheme="majorHAnsi" w:cstheme="majorHAnsi"/>
          <w:color w:val="000000"/>
          <w:spacing w:val="-6"/>
          <w:sz w:val="16"/>
          <w:szCs w:val="16"/>
          <w:lang w:val="en-US"/>
        </w:rPr>
        <w:t xml:space="preserve"> </w:t>
      </w:r>
      <w:r w:rsidR="00746CC5" w:rsidRPr="00A05B2D">
        <w:rPr>
          <w:rFonts w:asciiTheme="majorHAnsi" w:hAnsiTheme="majorHAnsi" w:cstheme="majorHAnsi"/>
          <w:color w:val="000000"/>
          <w:spacing w:val="-6"/>
          <w:sz w:val="16"/>
          <w:szCs w:val="16"/>
          <w:lang w:val="en-US"/>
        </w:rPr>
        <w:t>Pharmacological Therapies</w:t>
      </w:r>
      <w:r w:rsidR="00A05B2D">
        <w:rPr>
          <w:rFonts w:asciiTheme="majorHAnsi" w:hAnsiTheme="majorHAnsi" w:cstheme="majorHAnsi"/>
          <w:color w:val="000000"/>
          <w:spacing w:val="-6"/>
          <w:sz w:val="16"/>
          <w:szCs w:val="16"/>
          <w:lang w:val="en-US"/>
        </w:rPr>
        <w:t>,</w:t>
      </w:r>
      <w:r w:rsidR="00746CC5" w:rsidRPr="00A05B2D">
        <w:rPr>
          <w:rFonts w:asciiTheme="majorHAnsi" w:hAnsiTheme="majorHAnsi" w:cstheme="majorHAnsi"/>
          <w:color w:val="000000"/>
          <w:spacing w:val="-6"/>
          <w:sz w:val="16"/>
          <w:szCs w:val="16"/>
          <w:lang w:val="en-US"/>
        </w:rPr>
        <w:t xml:space="preserve"> Psychotherapy</w:t>
      </w:r>
      <w:r w:rsidR="002D7CD0" w:rsidRPr="007D124C">
        <w:rPr>
          <w:rFonts w:ascii="Calibri" w:hAnsi="Calibri" w:cs="Calibri"/>
          <w:sz w:val="16"/>
          <w:szCs w:val="16"/>
          <w:lang w:val="en-US"/>
        </w:rPr>
        <w:t>.</w:t>
      </w:r>
    </w:p>
    <w:p w14:paraId="2736FF46" w14:textId="4D522326" w:rsidR="009714F5" w:rsidRPr="00B673FD" w:rsidRDefault="00A27D7A" w:rsidP="00A32AEF">
      <w:pPr>
        <w:pStyle w:val="Corpodetexto"/>
        <w:tabs>
          <w:tab w:val="left" w:pos="599"/>
        </w:tabs>
        <w:spacing w:before="129"/>
        <w:ind w:left="0" w:right="0" w:hanging="10"/>
        <w:jc w:val="left"/>
        <w:rPr>
          <w:rFonts w:ascii="Calibri"/>
          <w:sz w:val="16"/>
          <w:szCs w:val="16"/>
          <w:lang w:val="en-US"/>
        </w:rPr>
        <w:sectPr w:rsidR="009714F5" w:rsidRPr="00B673FD" w:rsidSect="000C232A">
          <w:footerReference w:type="default" r:id="rId11"/>
          <w:type w:val="continuous"/>
          <w:pgSz w:w="11900" w:h="16840" w:code="9"/>
          <w:pgMar w:top="851" w:right="851" w:bottom="709" w:left="992" w:header="0" w:footer="425" w:gutter="0"/>
          <w:pgNumType w:start="7"/>
          <w:cols w:space="720"/>
        </w:sectPr>
      </w:pPr>
      <w:r>
        <w:rPr>
          <w:rFonts w:ascii="Calibri"/>
          <w:b/>
          <w:noProof/>
          <w:spacing w:val="-6"/>
          <w:sz w:val="16"/>
          <w:lang w:val="en-US"/>
        </w:rPr>
        <mc:AlternateContent>
          <mc:Choice Requires="wps">
            <w:drawing>
              <wp:anchor distT="0" distB="0" distL="114300" distR="114300" simplePos="0" relativeHeight="251659264" behindDoc="0" locked="0" layoutInCell="1" allowOverlap="1" wp14:anchorId="3F03687D" wp14:editId="76157B56">
                <wp:simplePos x="0" y="0"/>
                <wp:positionH relativeFrom="margin">
                  <wp:posOffset>0</wp:posOffset>
                </wp:positionH>
                <wp:positionV relativeFrom="paragraph">
                  <wp:posOffset>9672</wp:posOffset>
                </wp:positionV>
                <wp:extent cx="6394450" cy="0"/>
                <wp:effectExtent l="0" t="0" r="0" b="0"/>
                <wp:wrapNone/>
                <wp:docPr id="678316689" name="Conector reto 10"/>
                <wp:cNvGraphicFramePr/>
                <a:graphic xmlns:a="http://schemas.openxmlformats.org/drawingml/2006/main">
                  <a:graphicData uri="http://schemas.microsoft.com/office/word/2010/wordprocessingShape">
                    <wps:wsp>
                      <wps:cNvCnPr/>
                      <wps:spPr>
                        <a:xfrm flipV="1">
                          <a:off x="0" y="0"/>
                          <a:ext cx="63944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FCDE4" id="Conector reto 10"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50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" strokecolor="black [3040]" strokeweight=".5pt">
                <w10:wrap anchorx="margin"/>
              </v:line>
            </w:pict>
          </mc:Fallback>
        </mc:AlternateContent>
      </w:r>
    </w:p>
    <w:p w14:paraId="41B03B36" w14:textId="1210723C" w:rsidR="00F140E2" w:rsidRPr="0061755D" w:rsidRDefault="007D1375" w:rsidP="0061755D">
      <w:pPr>
        <w:pStyle w:val="Ttulo1"/>
        <w:spacing w:before="0" w:after="60"/>
        <w:ind w:left="0"/>
        <w:rPr>
          <w:spacing w:val="-6"/>
        </w:rPr>
      </w:pPr>
      <w:r w:rsidRPr="0061755D">
        <w:rPr>
          <w:spacing w:val="-6"/>
        </w:rPr>
        <w:t>INTRODUÇÃO</w:t>
      </w:r>
    </w:p>
    <w:p w14:paraId="20DC4D94" w14:textId="77777777" w:rsidR="00F140E2" w:rsidRPr="0061755D" w:rsidRDefault="00F140E2" w:rsidP="0061755D">
      <w:pPr>
        <w:pBdr>
          <w:top w:val="nil"/>
          <w:left w:val="nil"/>
          <w:bottom w:val="nil"/>
          <w:right w:val="nil"/>
          <w:between w:val="nil"/>
        </w:pBdr>
        <w:spacing w:after="60"/>
        <w:ind w:right="142"/>
        <w:jc w:val="both"/>
        <w:rPr>
          <w:color w:val="FF0000"/>
          <w:spacing w:val="-6"/>
          <w:sz w:val="20"/>
          <w:szCs w:val="20"/>
        </w:rPr>
      </w:pPr>
      <w:r w:rsidRPr="0061755D">
        <w:rPr>
          <w:color w:val="000000"/>
          <w:spacing w:val="-6"/>
          <w:sz w:val="20"/>
          <w:szCs w:val="20"/>
        </w:rPr>
        <w:t xml:space="preserve">O termo "doença mental" refere-se a um amplo espectro de condições de saúde mental que se manifestam através de dificuldades cognitivas, comportamentais ou emocionais. Estas condições afetam de maneira significativa a capacidade de uma pessoa de funcionar no dia a dia, realizar atividades essenciais à vida cotidiana e manter uma boa qualidade de vida (DEFAR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2023). Entre as doenças mentais mais comuns, que contribuem substancialmente para o aumento dos anos vividos com incapacidade, encontram-se a depressão, os transtornos de ansiedade, a esquizofrenia e o transtorno bipolar. Esses transtornos destacam-se não apenas pela sua prevalência, mas também pelo profundo impacto que têm na saúde mental e física dos indivíduos, comprometendo sua habilidade de viver uma vida plena e satisfatória (WU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2023).</w:t>
      </w:r>
    </w:p>
    <w:p w14:paraId="3E98DAC4" w14:textId="77777777" w:rsidR="00F140E2" w:rsidRPr="0061755D" w:rsidRDefault="00F140E2"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Pessoas com graves problemas de saúde mental geralmente têm uma qualidade de vida muito inferior à da população em geral. Isso se deve às restrições que a doença mental impõe, afetando significativamente a capacidade de realizar atividades diárias, diminuindo a independência e contribuindo para a redução da autoconfiança e da autoestima (LEE; SADANA, 2011). A qualidade de vida em saúde considera o bem-estar subjetivo do indivíduo em várias áreas, como saúde física e mental, estado psicológico, crenças pessoais, interações sociais e relação com o ambiente (GAUTAM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2024).</w:t>
      </w:r>
    </w:p>
    <w:p w14:paraId="090D6D4B" w14:textId="77777777" w:rsidR="00F140E2" w:rsidRPr="0061755D" w:rsidRDefault="00F140E2"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Fatores como condições de moradia, sensação de segurança, acesso a cuidados de saúde, oportunidades de lazer e </w:t>
      </w:r>
      <w:r w:rsidRPr="0061755D">
        <w:rPr>
          <w:color w:val="000000"/>
          <w:spacing w:val="-6"/>
          <w:sz w:val="20"/>
          <w:szCs w:val="20"/>
        </w:rPr>
        <w:t xml:space="preserve">infraestrutura adequada são essenciais para determinar a qualidade de vida em saúde. Essa abordagem abrangente destaca a necessidade de tratar não só os sintomas da doença mental, mas também as várias dimensões da vida do indivíduo para promover uma melhora significativa no bem-estar geral (DEFAR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2023).</w:t>
      </w:r>
    </w:p>
    <w:p w14:paraId="632692C9" w14:textId="77777777" w:rsidR="00F140E2" w:rsidRPr="0061755D" w:rsidRDefault="00F140E2"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Transtorno de Déficit de Atenção e Hiperatividade (TDAH) é uma condição psiquiátrica conhecida por comprometer a funcionalidade de crianças, caracterizada por desatenção, hiperatividade e impulsividade inadequadas ao desenvolvimento (GNANAVEL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2019). Em adultos, os sintomas principais podem não ser tão evidentes, manifestando-se como procrastinação, instabilidade de humor e baixa autoestima, com uma tendência mais forte para impulsividade ou desatenção (FRANK-BRIGGS, 2011). Embora os sintomas de hiperatividade possam ser mais controlados em adultos, uma análise detalhada do histórico da infância pode revelar indícios dessas características, mesmo que tenham sido inicialmente negligenciados.</w:t>
      </w:r>
    </w:p>
    <w:p w14:paraId="59DA203B" w14:textId="77777777" w:rsidR="00F140E2" w:rsidRPr="0061755D" w:rsidRDefault="00F140E2"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transtorno bipolar é uma condição psiquiátrica marcada por alternância entre períodos intensos de mania ou hipomania e fases de depressão profunda, frequentemente recebendo um diagnóstico equivocado nas fases iniciais. Além dos episódios agudos, é comum que indivíduos afetados pelo transtorno bipolar experienciem sintomas persistentes mesmo nos intervalos entre os episódios, o que pode comprometer significativamente a qualidade de vida (JAIN; MITRA, 2023). Este transtorno tende a </w:t>
      </w:r>
      <w:r w:rsidRPr="0061755D">
        <w:rPr>
          <w:color w:val="000000"/>
          <w:spacing w:val="-6"/>
          <w:sz w:val="20"/>
          <w:szCs w:val="20"/>
        </w:rPr>
        <w:lastRenderedPageBreak/>
        <w:t xml:space="preserve">se manifestar na adolescência ou no início da vida adulta, trazendo consigo desafios substanciais não apenas para os pacientes, mas também para seus familiares e cuidadores, devido ao seu impacto profundo em diversos </w:t>
      </w:r>
      <w:proofErr w:type="spellStart"/>
      <w:r w:rsidRPr="0061755D">
        <w:rPr>
          <w:color w:val="000000"/>
          <w:spacing w:val="-6"/>
          <w:sz w:val="20"/>
          <w:szCs w:val="20"/>
        </w:rPr>
        <w:t>aspectos</w:t>
      </w:r>
      <w:proofErr w:type="spellEnd"/>
      <w:r w:rsidRPr="0061755D">
        <w:rPr>
          <w:color w:val="000000"/>
          <w:spacing w:val="-6"/>
          <w:sz w:val="20"/>
          <w:szCs w:val="20"/>
        </w:rPr>
        <w:t xml:space="preserve"> da vida diária (MCINTYRE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2022). </w:t>
      </w:r>
    </w:p>
    <w:p w14:paraId="201350E6" w14:textId="77777777" w:rsidR="00F140E2" w:rsidRPr="0061755D" w:rsidRDefault="00F140E2"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Indivíduos diagnosticados com transtorno bipolar frequentemente enfrentam obstáculos significativos em sua trajetória educacional e profissional, além de problemas nas relações interpessoais e na integração social, contribuindo para uma possível disfunção psicossocial. A condição pode levar a incapacidades, conflitos conjugais e familiares, várias tentativas de suicídio e, em casos extremos, suicídio (JAIN; MITRA, 2023).</w:t>
      </w:r>
    </w:p>
    <w:p w14:paraId="20135CC0" w14:textId="77777777" w:rsidR="00F140E2" w:rsidRPr="0061755D" w:rsidRDefault="00F140E2"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Transtorno de Déficit de Atenção e Hiperatividade (TDAH) é reconhecido como um dos distúrbios </w:t>
      </w:r>
      <w:proofErr w:type="spellStart"/>
      <w:r w:rsidRPr="0061755D">
        <w:rPr>
          <w:color w:val="000000"/>
          <w:spacing w:val="-6"/>
          <w:sz w:val="20"/>
          <w:szCs w:val="20"/>
        </w:rPr>
        <w:t>neurodesenvolvimentais</w:t>
      </w:r>
      <w:proofErr w:type="spellEnd"/>
      <w:r w:rsidRPr="0061755D">
        <w:rPr>
          <w:color w:val="000000"/>
          <w:spacing w:val="-6"/>
          <w:sz w:val="20"/>
          <w:szCs w:val="20"/>
        </w:rPr>
        <w:t xml:space="preserve"> mais comuns na infância, afetando uma parcela considerável das crianças em escala global, com estimativas indicando uma prevalência de aproximadamente 3% a 7% (BENCZIK; CASELLA, 2015).</w:t>
      </w:r>
    </w:p>
    <w:p w14:paraId="21D9F962" w14:textId="77777777" w:rsidR="00F140E2" w:rsidRPr="0061755D" w:rsidRDefault="00F140E2"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A amplitude dessa estimativa destaca a urgência e a importância de estratégias eficazes de identificação e tratamento do TDAH, considerando-se o impacto significativo que pode ter sobre a vida das crianças afetadas e de suas famílias (YOUNG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2021). A </w:t>
      </w:r>
      <w:proofErr w:type="spellStart"/>
      <w:r w:rsidRPr="0061755D">
        <w:rPr>
          <w:color w:val="000000"/>
          <w:spacing w:val="-6"/>
          <w:sz w:val="20"/>
          <w:szCs w:val="20"/>
        </w:rPr>
        <w:t>detecção</w:t>
      </w:r>
      <w:proofErr w:type="spellEnd"/>
      <w:r w:rsidRPr="0061755D">
        <w:rPr>
          <w:color w:val="000000"/>
          <w:spacing w:val="-6"/>
          <w:sz w:val="20"/>
          <w:szCs w:val="20"/>
        </w:rPr>
        <w:t xml:space="preserve"> precoce e a implementação de intervenções terapêuticas personalizadas são fundamentais para mitigar esses efeitos adversos, promovendo um desenvolvimento mais saudável e uma melhor qualidade de vida para os indivíduos com TDAH (CECIL; NIGG, 2022).</w:t>
      </w:r>
    </w:p>
    <w:p w14:paraId="4240F0F4" w14:textId="77777777" w:rsidR="00F140E2" w:rsidRPr="0061755D" w:rsidRDefault="00F140E2"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transtorno bipolar é uma condição psiquiátrica complexa que impacta aproximadamente 140 milhões de indivíduos globalmente. Caracterizado por oscilações significativas no humor, que variam entre episódios de depressão profunda e fases de mania ou hipomania, este transtorno apresenta seus primeiros sinais habitualmente na juventude, especificamente entre os 18 e 25 anos de idade. Uma das maiores preocupações em torno desta condição é o atraso no diagnóstico, que pode chegar a uma média de 10 anos. Esse atraso é frequentemente agravado por uma série de fatores, incluindo o estigma associado às doenças mentais, bem como a dificuldade em </w:t>
      </w:r>
      <w:proofErr w:type="spellStart"/>
      <w:r w:rsidRPr="0061755D">
        <w:rPr>
          <w:color w:val="000000"/>
          <w:spacing w:val="-6"/>
          <w:sz w:val="20"/>
          <w:szCs w:val="20"/>
        </w:rPr>
        <w:t>acessar</w:t>
      </w:r>
      <w:proofErr w:type="spellEnd"/>
      <w:r w:rsidRPr="0061755D">
        <w:rPr>
          <w:color w:val="000000"/>
          <w:spacing w:val="-6"/>
          <w:sz w:val="20"/>
          <w:szCs w:val="20"/>
        </w:rPr>
        <w:t xml:space="preserve"> e receber tratamentos adequados (SOUZA; CALIL; TAMAI, 2020).</w:t>
      </w:r>
    </w:p>
    <w:p w14:paraId="7ECF07FC" w14:textId="50689E00" w:rsidR="007D1375" w:rsidRPr="0061755D" w:rsidRDefault="00F140E2" w:rsidP="0061755D">
      <w:pPr>
        <w:pBdr>
          <w:top w:val="nil"/>
          <w:left w:val="nil"/>
          <w:bottom w:val="nil"/>
          <w:right w:val="nil"/>
          <w:between w:val="nil"/>
        </w:pBdr>
        <w:spacing w:after="60"/>
        <w:ind w:right="142"/>
        <w:jc w:val="both"/>
        <w:rPr>
          <w:color w:val="000000"/>
          <w:spacing w:val="-12"/>
          <w:sz w:val="20"/>
          <w:szCs w:val="20"/>
        </w:rPr>
      </w:pPr>
      <w:r w:rsidRPr="0061755D">
        <w:rPr>
          <w:color w:val="000000"/>
          <w:spacing w:val="-6"/>
          <w:sz w:val="20"/>
          <w:szCs w:val="20"/>
        </w:rPr>
        <w:t xml:space="preserve">Diante disso, esta pesquisa tem como objetivo analisar a neurobiologia e opções terapêuticas dos transtornos psiquiátricos Transtorno do Déficit de Atenção e Hiperatividade (TDAH) e Transtorno Afetivo Bipolar (TAB). A metodologia adotada doi a revisão de literatura, a partir de artigos originais, revisões sistemáticas, meta-análises e estudos de caso-controle, selecionados em bases de dados como </w:t>
      </w:r>
      <w:proofErr w:type="spellStart"/>
      <w:r w:rsidRPr="0061755D">
        <w:rPr>
          <w:color w:val="000000"/>
          <w:spacing w:val="-6"/>
          <w:sz w:val="20"/>
          <w:szCs w:val="20"/>
        </w:rPr>
        <w:t>PubMed</w:t>
      </w:r>
      <w:proofErr w:type="spellEnd"/>
      <w:r w:rsidRPr="0061755D">
        <w:rPr>
          <w:color w:val="000000"/>
          <w:spacing w:val="-6"/>
          <w:sz w:val="20"/>
          <w:szCs w:val="20"/>
        </w:rPr>
        <w:t xml:space="preserve">, </w:t>
      </w:r>
      <w:proofErr w:type="spellStart"/>
      <w:r w:rsidRPr="0061755D">
        <w:rPr>
          <w:color w:val="000000"/>
          <w:spacing w:val="-6"/>
          <w:sz w:val="20"/>
          <w:szCs w:val="20"/>
        </w:rPr>
        <w:t>PsycINFO</w:t>
      </w:r>
      <w:proofErr w:type="spellEnd"/>
      <w:r w:rsidRPr="0061755D">
        <w:rPr>
          <w:color w:val="000000"/>
          <w:spacing w:val="-6"/>
          <w:sz w:val="20"/>
          <w:szCs w:val="20"/>
        </w:rPr>
        <w:t xml:space="preserve"> e Web </w:t>
      </w:r>
      <w:proofErr w:type="spellStart"/>
      <w:r w:rsidRPr="0061755D">
        <w:rPr>
          <w:color w:val="000000"/>
          <w:spacing w:val="-6"/>
          <w:sz w:val="20"/>
          <w:szCs w:val="20"/>
        </w:rPr>
        <w:t>of</w:t>
      </w:r>
      <w:proofErr w:type="spellEnd"/>
      <w:r w:rsidRPr="0061755D">
        <w:rPr>
          <w:color w:val="000000"/>
          <w:spacing w:val="-6"/>
          <w:sz w:val="20"/>
          <w:szCs w:val="20"/>
        </w:rPr>
        <w:t xml:space="preserve"> </w:t>
      </w:r>
      <w:proofErr w:type="spellStart"/>
      <w:r w:rsidRPr="0061755D">
        <w:rPr>
          <w:color w:val="000000"/>
          <w:spacing w:val="-6"/>
          <w:sz w:val="20"/>
          <w:szCs w:val="20"/>
        </w:rPr>
        <w:t>Science</w:t>
      </w:r>
      <w:proofErr w:type="spellEnd"/>
      <w:r w:rsidRPr="0061755D">
        <w:rPr>
          <w:color w:val="000000"/>
          <w:spacing w:val="-6"/>
          <w:sz w:val="20"/>
          <w:szCs w:val="20"/>
        </w:rPr>
        <w:t>, além de manuais diagnósticos como DSM-5 e CID-10, em idiomas como inglês, espanhol e português. Essa abordagem crítica visa aprofundar a compreensão das bases neurobiológicas do TDAH e do TAB, contribuindo para o avanço científico e o direcionamento de futuras pesquisas e estratégias terapêuticas</w:t>
      </w:r>
    </w:p>
    <w:p w14:paraId="67723CB0" w14:textId="77777777" w:rsidR="007D1375" w:rsidRPr="002F73BA" w:rsidRDefault="007D1375" w:rsidP="0061755D">
      <w:pPr>
        <w:pStyle w:val="Ttulo2"/>
        <w:spacing w:before="80" w:after="60"/>
        <w:ind w:right="142"/>
        <w:rPr>
          <w:rFonts w:ascii="Times New Roman" w:hAnsi="Times New Roman" w:cs="Times New Roman"/>
          <w:b/>
          <w:bCs/>
          <w:color w:val="000000" w:themeColor="text1"/>
          <w:sz w:val="24"/>
          <w:szCs w:val="24"/>
        </w:rPr>
      </w:pPr>
      <w:r w:rsidRPr="002F73BA">
        <w:rPr>
          <w:rFonts w:ascii="Times New Roman" w:hAnsi="Times New Roman" w:cs="Times New Roman"/>
          <w:b/>
          <w:bCs/>
          <w:color w:val="000000" w:themeColor="text1"/>
          <w:sz w:val="24"/>
          <w:szCs w:val="24"/>
        </w:rPr>
        <w:t>PREVALÊNCIA E IMPACTO SOCIAL DO TDAH E TB</w:t>
      </w:r>
    </w:p>
    <w:p w14:paraId="23B431B8"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Transtorno de Déficit de Atenção/Hiperatividade (TDAH), é caracterizado como um transtorno neurobiológico. Este afeta uma </w:t>
      </w:r>
      <w:proofErr w:type="spellStart"/>
      <w:r w:rsidRPr="0061755D">
        <w:rPr>
          <w:color w:val="000000"/>
          <w:spacing w:val="-6"/>
          <w:sz w:val="20"/>
          <w:szCs w:val="20"/>
        </w:rPr>
        <w:t>porcentagem</w:t>
      </w:r>
      <w:proofErr w:type="spellEnd"/>
      <w:r w:rsidRPr="0061755D">
        <w:rPr>
          <w:color w:val="000000"/>
          <w:spacing w:val="-6"/>
          <w:sz w:val="20"/>
          <w:szCs w:val="20"/>
        </w:rPr>
        <w:t xml:space="preserve"> significativa da população infantil, variando de 3% a 7%. Essa condição não se limita a uma região geográfica específica, sendo um fenômeno global observado em crianças não só no Brasil, mas em diversos países ao redor do mundo. O TDAH é uma condição complexa, com uma apresentação clínica que pode variar consideravelmente de pessoa para pessoa. Esta variabilidade torna o diagnóstico e o tratamento do TDAH um </w:t>
      </w:r>
      <w:r w:rsidRPr="0061755D">
        <w:rPr>
          <w:color w:val="000000"/>
          <w:spacing w:val="-6"/>
          <w:sz w:val="20"/>
          <w:szCs w:val="20"/>
        </w:rPr>
        <w:t>grande desafio (BENCZIK; CASELLA, 2015).</w:t>
      </w:r>
    </w:p>
    <w:p w14:paraId="52E41844"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Na sociedade, a falta de diagnóstico deste transtorno pode levar a desafios comportamentais e cognitivos complexos que têm um impacto direto no crescimento do indivíduo. O TDAH em jovens, englobando crianças e adolescentes, tem uma influência considerável não apenas no rendimento escolar, mas também na saúde física e mental desses indivíduos (DHAKAL; BOBRIN, 2020; JOKELA, 2022).</w:t>
      </w:r>
    </w:p>
    <w:p w14:paraId="1383B9EE"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Segundo a Declaração de Consenso Internacional da Federação Mundial de TDAH, que apresentou um total de 208 conclusões fundamentadas em evidências científicas sobre a condição, o TDAH é muitas vezes mal compreendido e cercado por estigmas na sociedade. Além disso, os dados indicam que a prevalência do TDAH entre crianças e adolescentes varia significativamente, com taxas que oscilam entre 5,9% e 14%. Tal variação reforça a necessidade de maior conscientização e entendimento sobre o TDAH, a fim de combater equívocos e estigmas e garantir a </w:t>
      </w:r>
      <w:proofErr w:type="spellStart"/>
      <w:r w:rsidRPr="0061755D">
        <w:rPr>
          <w:color w:val="000000"/>
          <w:spacing w:val="-6"/>
          <w:sz w:val="20"/>
          <w:szCs w:val="20"/>
        </w:rPr>
        <w:t>detecção</w:t>
      </w:r>
      <w:proofErr w:type="spellEnd"/>
      <w:r w:rsidRPr="0061755D">
        <w:rPr>
          <w:color w:val="000000"/>
          <w:spacing w:val="-6"/>
          <w:sz w:val="20"/>
          <w:szCs w:val="20"/>
        </w:rPr>
        <w:t xml:space="preserve"> precoce e o tratamento adequado do transtorno (AYANO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2023; FARAONE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2021).</w:t>
      </w:r>
    </w:p>
    <w:p w14:paraId="3F808F0A"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Uma revisão abrangente que incluiu 13 estudos sistemáticos e meta-análises, totalizando 588 estudos primários e mais de 3 milhões de participantes, revelou uma prevalência mundial de TDAH em crianças e adolescentes de 8%. Este estudo descobriu que a incidência de TDAH é duas vezes maior em meninos (10%) em comparação com meninas (5%) e identificou o subtipo desatento como o mais prevalente (3%), seguido pelos subtipos hiperativo (2,95%) e combinado (2,44%). Esses resultados sugerem uma distribuição relativamente uniforme da condição em diferentes regiões, com variações específicas em populações particulares (AYANO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2023).</w:t>
      </w:r>
    </w:p>
    <w:p w14:paraId="41FC5996"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 O TDAH, tradicionalmente visto como um transtorno da infância, persiste na vida adulta em 50% a 80% dos casos, afetando significativamente várias áreas da vida, incluindo o trabalho, relacionamentos e gestão de tarefas diárias (BENCZIK; CASELLA, 2015). Apesar de um crescente reconhecimento do TDAH em adultos, descrever tendências de diagnóstico e tratamento tem sido desafiador devido a variações metodológicas. Pesquisas realizadas em 20 países mostram uma prevalência global de 2,8% em adultos, com países de maior renda apresentando taxas mais elevadas, sugerindo que fatores socioeconômicos influenciam a identificação e tratamento do TDAH (ABDELNOUR; JANSEN; GOLD</w:t>
      </w:r>
      <w:r w:rsidRPr="0061755D">
        <w:rPr>
          <w:spacing w:val="-6"/>
          <w:sz w:val="20"/>
          <w:szCs w:val="20"/>
        </w:rPr>
        <w:t>; 2022</w:t>
      </w:r>
      <w:r w:rsidRPr="0061755D">
        <w:rPr>
          <w:color w:val="000000"/>
          <w:spacing w:val="-6"/>
          <w:sz w:val="20"/>
          <w:szCs w:val="20"/>
        </w:rPr>
        <w:t xml:space="preserve">; SONG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2021).</w:t>
      </w:r>
    </w:p>
    <w:p w14:paraId="09059900"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Um estudo abrangendo o período de 2005 a 2019 revelou que 2,58% dos adultos globalmente possuem TDAH persistente, enquanto 6,76% apresentam sintomas, totalizando 139,84 milhões e 366,33 milhões de casos, </w:t>
      </w:r>
      <w:proofErr w:type="spellStart"/>
      <w:r w:rsidRPr="0061755D">
        <w:rPr>
          <w:color w:val="000000"/>
          <w:spacing w:val="-6"/>
          <w:sz w:val="20"/>
          <w:szCs w:val="20"/>
        </w:rPr>
        <w:t>respectivamente</w:t>
      </w:r>
      <w:proofErr w:type="spellEnd"/>
      <w:r w:rsidRPr="0061755D">
        <w:rPr>
          <w:color w:val="000000"/>
          <w:spacing w:val="-6"/>
          <w:sz w:val="20"/>
          <w:szCs w:val="20"/>
        </w:rPr>
        <w:t xml:space="preserve">. Observou-se que a prevalência de TDAH diminui com o aumento da idade (CHUNG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2019). A falta de um critério diagnóstico global unificado contribui para variações nas estimativas de prevalência do TDAH em adultos. Ressalta-se a importância de abordagens especializadas para identificação e manejo do TDAH, tanto em ambientes familiares quanto profissionais, visando criar espaços mais inclusivos e permitir que indivíduos com TDAH alcancem seu potencial pleno. Enfatiza-se a necessidade de focar na prevenção, </w:t>
      </w:r>
      <w:proofErr w:type="spellStart"/>
      <w:r w:rsidRPr="0061755D">
        <w:rPr>
          <w:color w:val="000000"/>
          <w:spacing w:val="-6"/>
          <w:sz w:val="20"/>
          <w:szCs w:val="20"/>
        </w:rPr>
        <w:t>detecção</w:t>
      </w:r>
      <w:proofErr w:type="spellEnd"/>
      <w:r w:rsidRPr="0061755D">
        <w:rPr>
          <w:color w:val="000000"/>
          <w:spacing w:val="-6"/>
          <w:sz w:val="20"/>
          <w:szCs w:val="20"/>
        </w:rPr>
        <w:t xml:space="preserve"> e tratamento desde a infância e na padronização dos métodos diagnósticos para adultos, com implicações significativas para a saúde pública e clínica (AYANO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2023; DHAKAL; BOBRIN, 2020).</w:t>
      </w:r>
    </w:p>
    <w:p w14:paraId="36CB4FBF"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Transtorno Bipolar (TB) é uma condição complexa e multifacetada que se manifesta em diferentes formas, das quais o tipo I e o tipo II são os mais reconhecidos. O tipo I do Transtorno Bipolar se distingue pela ocorrência de episódios maníacos plenos, frequentemente entremeados com períodos de humor </w:t>
      </w:r>
      <w:r w:rsidRPr="0061755D">
        <w:rPr>
          <w:color w:val="000000"/>
          <w:spacing w:val="-6"/>
          <w:sz w:val="20"/>
          <w:szCs w:val="20"/>
        </w:rPr>
        <w:lastRenderedPageBreak/>
        <w:t xml:space="preserve">normal (eutimia) e episódios de depressão maior e hipomania. Este padrão de alternância entre extremos emocionais define a natureza cíclica e imprevisível do TB tipo I (PORTO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2023).</w:t>
      </w:r>
    </w:p>
    <w:p w14:paraId="30BF1573"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Por sua vez, o Transtorno Bipolar tipo II apresenta uma dinâmica diferente. Caracteriza- se pela presença de episódios depressivos maiores alternados com episódios de hipomania, sem atingir os extremos maníacos observados no tipo I. Notavelmente, indivíduos com TB tipo II tendem a experimentar períodos mais prolongados de depressão em comparação aos momentos de elevação do humor, diferentemente do observado no TB tipo I, onde a fase maníaca é mais proeminente (MAES; STOYANOV, 2022).</w:t>
      </w:r>
    </w:p>
    <w:p w14:paraId="2DA6A60F" w14:textId="77777777" w:rsidR="007D1375" w:rsidRPr="0061755D" w:rsidRDefault="007D1375" w:rsidP="0061755D">
      <w:pPr>
        <w:pBdr>
          <w:top w:val="nil"/>
          <w:left w:val="nil"/>
          <w:bottom w:val="nil"/>
          <w:right w:val="nil"/>
          <w:between w:val="nil"/>
        </w:pBdr>
        <w:spacing w:after="60"/>
        <w:ind w:right="142"/>
        <w:jc w:val="both"/>
        <w:rPr>
          <w:color w:val="FF0000"/>
          <w:spacing w:val="-6"/>
          <w:sz w:val="20"/>
          <w:szCs w:val="20"/>
        </w:rPr>
      </w:pPr>
      <w:r w:rsidRPr="0061755D">
        <w:rPr>
          <w:color w:val="000000"/>
          <w:spacing w:val="-6"/>
          <w:sz w:val="20"/>
          <w:szCs w:val="20"/>
        </w:rPr>
        <w:t xml:space="preserve">De acordo com informações da Organização Mundial da Saúde (OMS), o TB impacta aproximadamente 30 milhões de pessoas ao redor do globo. Esta doença é reconhecida por sua alta capacidade de gerar incapacidades, devido à sua incidência e aos sintomas que apresenta. Um estudo abrangente, realizado em onze países diferentes, investigou a prevalência do transtorno bipolar, detalhando suas variações: o tipo I do transtorno bipolar (TB-I) teve uma prevalência de 0,6% ao longo da vida das pessoas estudadas, enquanto o tipo II (TB-II) </w:t>
      </w:r>
      <w:proofErr w:type="gramStart"/>
      <w:r w:rsidRPr="0061755D">
        <w:rPr>
          <w:color w:val="000000"/>
          <w:spacing w:val="-6"/>
          <w:sz w:val="20"/>
          <w:szCs w:val="20"/>
        </w:rPr>
        <w:t>registrou</w:t>
      </w:r>
      <w:proofErr w:type="gramEnd"/>
      <w:r w:rsidRPr="0061755D">
        <w:rPr>
          <w:color w:val="000000"/>
          <w:spacing w:val="-6"/>
          <w:sz w:val="20"/>
          <w:szCs w:val="20"/>
        </w:rPr>
        <w:t xml:space="preserve"> 0,4%, e o espectro bipolar mais amplo (incluindo formas </w:t>
      </w:r>
      <w:proofErr w:type="spellStart"/>
      <w:r w:rsidRPr="0061755D">
        <w:rPr>
          <w:color w:val="000000"/>
          <w:spacing w:val="-6"/>
          <w:sz w:val="20"/>
          <w:szCs w:val="20"/>
        </w:rPr>
        <w:t>subsindrômicas</w:t>
      </w:r>
      <w:proofErr w:type="spellEnd"/>
      <w:r w:rsidRPr="0061755D">
        <w:rPr>
          <w:color w:val="000000"/>
          <w:spacing w:val="-6"/>
          <w:sz w:val="20"/>
          <w:szCs w:val="20"/>
        </w:rPr>
        <w:t xml:space="preserve">) alcançou 2,4%. No Brasil, a prevalência média de formas do transtorno bipolar ao longo da vida foi estimada em cerca de 1% entre as diversas tipologias (BOSAIPO; BORGES; JURUENA, 2017; WELLS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2011).</w:t>
      </w:r>
    </w:p>
    <w:p w14:paraId="6D3D59A6"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Além das diferenças clínicas entre essas duas formas, o Transtorno Bipolar como um todo está intrinsecamente ligado a desafios significativos na vida dos afetados. Esta condição não apenas compromete a funcionalidade diária e a qualidade de vida dos indivíduos, mas também implica um impacto econômico considerável para os sistemas de saúde devido à necessidade de tratamentos contínuos e suporte (AL JOWF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2022).</w:t>
      </w:r>
    </w:p>
    <w:p w14:paraId="65A52B17" w14:textId="77777777" w:rsidR="007D1375" w:rsidRPr="0061755D" w:rsidRDefault="007D1375" w:rsidP="0061755D">
      <w:pPr>
        <w:pBdr>
          <w:top w:val="nil"/>
          <w:left w:val="nil"/>
          <w:bottom w:val="nil"/>
          <w:right w:val="nil"/>
          <w:between w:val="nil"/>
        </w:pBdr>
        <w:spacing w:after="60"/>
        <w:ind w:right="142"/>
        <w:jc w:val="both"/>
        <w:rPr>
          <w:color w:val="FF0000"/>
          <w:spacing w:val="-6"/>
          <w:sz w:val="20"/>
          <w:szCs w:val="20"/>
        </w:rPr>
      </w:pPr>
      <w:r w:rsidRPr="0061755D">
        <w:rPr>
          <w:color w:val="000000"/>
          <w:spacing w:val="-6"/>
          <w:sz w:val="20"/>
          <w:szCs w:val="20"/>
        </w:rPr>
        <w:t xml:space="preserve">Ao analisar dados coletados de uma amostra composta por indivíduos de onze países, observou-se que as taxas de prevalência do TB-I, TB-II, transtorno bipolar </w:t>
      </w:r>
      <w:proofErr w:type="spellStart"/>
      <w:r w:rsidRPr="0061755D">
        <w:rPr>
          <w:color w:val="000000"/>
          <w:spacing w:val="-6"/>
          <w:sz w:val="20"/>
          <w:szCs w:val="20"/>
        </w:rPr>
        <w:t>subsindrômico</w:t>
      </w:r>
      <w:proofErr w:type="spellEnd"/>
      <w:r w:rsidRPr="0061755D">
        <w:rPr>
          <w:color w:val="000000"/>
          <w:spacing w:val="-6"/>
          <w:sz w:val="20"/>
          <w:szCs w:val="20"/>
        </w:rPr>
        <w:t xml:space="preserve"> (TB- </w:t>
      </w:r>
      <w:proofErr w:type="spellStart"/>
      <w:r w:rsidRPr="0061755D">
        <w:rPr>
          <w:color w:val="000000"/>
          <w:spacing w:val="-6"/>
          <w:sz w:val="20"/>
          <w:szCs w:val="20"/>
        </w:rPr>
        <w:t>sub</w:t>
      </w:r>
      <w:proofErr w:type="spellEnd"/>
      <w:r w:rsidRPr="0061755D">
        <w:rPr>
          <w:color w:val="000000"/>
          <w:spacing w:val="-6"/>
          <w:sz w:val="20"/>
          <w:szCs w:val="20"/>
        </w:rPr>
        <w:t xml:space="preserve">), e do espectro bipolar completo (EB) foram </w:t>
      </w:r>
      <w:proofErr w:type="spellStart"/>
      <w:r w:rsidRPr="0061755D">
        <w:rPr>
          <w:color w:val="000000"/>
          <w:spacing w:val="-6"/>
          <w:sz w:val="20"/>
          <w:szCs w:val="20"/>
        </w:rPr>
        <w:t>respectivamente</w:t>
      </w:r>
      <w:proofErr w:type="spellEnd"/>
      <w:r w:rsidRPr="0061755D">
        <w:rPr>
          <w:color w:val="000000"/>
          <w:spacing w:val="-6"/>
          <w:sz w:val="20"/>
          <w:szCs w:val="20"/>
        </w:rPr>
        <w:t xml:space="preserve"> de 0,6%, 0,4%, 1,4%, e 2,4% para ocorrências ao longo da vida. Em termos de prevalência anual, esses números apresentaram uma ligeira redução, com as taxas para TB-I, TB-II, TB-</w:t>
      </w:r>
      <w:proofErr w:type="spellStart"/>
      <w:r w:rsidRPr="0061755D">
        <w:rPr>
          <w:color w:val="000000"/>
          <w:spacing w:val="-6"/>
          <w:sz w:val="20"/>
          <w:szCs w:val="20"/>
        </w:rPr>
        <w:t>sub</w:t>
      </w:r>
      <w:proofErr w:type="spellEnd"/>
      <w:r w:rsidRPr="0061755D">
        <w:rPr>
          <w:color w:val="000000"/>
          <w:spacing w:val="-6"/>
          <w:sz w:val="20"/>
          <w:szCs w:val="20"/>
        </w:rPr>
        <w:t xml:space="preserve"> e EB ajustando-se para 0,4%, 0,3%, 0,8%, e 1,5%, </w:t>
      </w:r>
      <w:proofErr w:type="spellStart"/>
      <w:r w:rsidRPr="0061755D">
        <w:rPr>
          <w:color w:val="000000"/>
          <w:spacing w:val="-6"/>
          <w:sz w:val="20"/>
          <w:szCs w:val="20"/>
        </w:rPr>
        <w:t>respectivamente</w:t>
      </w:r>
      <w:proofErr w:type="spellEnd"/>
      <w:r w:rsidRPr="0061755D">
        <w:rPr>
          <w:color w:val="000000"/>
          <w:spacing w:val="-6"/>
          <w:sz w:val="20"/>
          <w:szCs w:val="20"/>
        </w:rPr>
        <w:t xml:space="preserve">. Esses dados sublinham a variação na ocorrência do transtorno bipolar, demonstrando a importância de entender as diferenças entre suas formas e a necessidade de abordagens de tratamento e prevenção ajustadas a essas especificidades (BOSAIPO; BORGES; JURUENA, 2017; WELLS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2011).</w:t>
      </w:r>
    </w:p>
    <w:p w14:paraId="0C72FFE1"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bookmarkStart w:id="0" w:name="_h55ckgf05d8z" w:colFirst="0" w:colLast="0"/>
      <w:bookmarkEnd w:id="0"/>
      <w:r w:rsidRPr="0061755D">
        <w:rPr>
          <w:color w:val="000000"/>
          <w:spacing w:val="-6"/>
          <w:sz w:val="20"/>
          <w:szCs w:val="20"/>
        </w:rPr>
        <w:t xml:space="preserve">Dados recentes, como os de 2017, indicam que cerca de 46 milhões de pessoas ao redor do mundo foram diagnosticadas com este transtorno, sublinhando sua prevalência não apenas na população em geral, mas também entre pacientes em ambientes de cuidados primários, onde estima-se que até 4,3% dos atendimentos possam estar relacionados ao TB. Essas estatísticas destacam o Transtorno Bipolar como uma condição significativa dentro das comunidades de saúde mental, exigindo uma conscientização aprimorada, diagnósticos precisos e abordagens terapêuticas adaptativas para gerenciar eficazmente seus sintomas e melhorar os resultados para os afetados (PORTO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2023).</w:t>
      </w:r>
    </w:p>
    <w:p w14:paraId="4BEB4AF4" w14:textId="77777777" w:rsidR="007D1375" w:rsidRPr="0061755D" w:rsidRDefault="007D1375" w:rsidP="0061755D">
      <w:pPr>
        <w:pStyle w:val="Ttulo3"/>
        <w:spacing w:before="80" w:after="60"/>
        <w:ind w:right="142"/>
        <w:rPr>
          <w:rFonts w:ascii="Times New Roman" w:hAnsi="Times New Roman" w:cs="Times New Roman"/>
          <w:b/>
          <w:bCs/>
          <w:color w:val="000000" w:themeColor="text1"/>
          <w:spacing w:val="-6"/>
        </w:rPr>
      </w:pPr>
      <w:bookmarkStart w:id="1" w:name="_7jylf3tp7oj1" w:colFirst="0" w:colLast="0"/>
      <w:bookmarkEnd w:id="1"/>
      <w:r w:rsidRPr="0061755D">
        <w:rPr>
          <w:rFonts w:ascii="Times New Roman" w:hAnsi="Times New Roman" w:cs="Times New Roman"/>
          <w:b/>
          <w:bCs/>
          <w:color w:val="000000" w:themeColor="text1"/>
          <w:spacing w:val="-6"/>
        </w:rPr>
        <w:t>TEORIA DOS TRANSTORNOS PSIQUIÁTRICOS</w:t>
      </w:r>
    </w:p>
    <w:p w14:paraId="5B6FA25C" w14:textId="77777777" w:rsidR="007D1375" w:rsidRPr="0061755D" w:rsidRDefault="007D1375" w:rsidP="0061755D">
      <w:pPr>
        <w:pBdr>
          <w:top w:val="nil"/>
          <w:left w:val="nil"/>
          <w:bottom w:val="nil"/>
          <w:right w:val="nil"/>
          <w:between w:val="nil"/>
        </w:pBdr>
        <w:spacing w:after="60"/>
        <w:ind w:right="142"/>
        <w:jc w:val="both"/>
        <w:rPr>
          <w:color w:val="FF0000"/>
          <w:spacing w:val="-6"/>
          <w:sz w:val="20"/>
          <w:szCs w:val="20"/>
        </w:rPr>
      </w:pPr>
      <w:r w:rsidRPr="0061755D">
        <w:rPr>
          <w:color w:val="000000"/>
          <w:spacing w:val="-6"/>
          <w:sz w:val="20"/>
          <w:szCs w:val="20"/>
        </w:rPr>
        <w:t xml:space="preserve">A compreensão dos transtornos mentais constitui um dos maiores desafios na medicina moderna, dada sua natureza complexa tanto em termos de causas quanto de sintomas. Essas condições se caracterizam por alterações no pensamento, emoções e </w:t>
      </w:r>
      <w:r w:rsidRPr="0061755D">
        <w:rPr>
          <w:color w:val="000000"/>
          <w:spacing w:val="-6"/>
          <w:sz w:val="20"/>
          <w:szCs w:val="20"/>
        </w:rPr>
        <w:t>comportamento que provocam sofrimento significativo e comprometem o funcionamento (SADOCK; SADOCK; RUIZ, 2017).</w:t>
      </w:r>
    </w:p>
    <w:p w14:paraId="64B48C78"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 A Classificação Internacional de Doenças (CID-10) e o Manual Diagnóstico e Estatístico de Transtornos Mentais (DSM-5) são as principais referências utilizadas para diagnóstico, fornecendo critérios específicos para identificar e distinguir cada condição (AMERICAN PSYCHIATRIC ASSOCIATION, 2013).</w:t>
      </w:r>
    </w:p>
    <w:p w14:paraId="7D7DCAC1"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Transtornos mentais como o Transtorno do Déficit de Atenção e Hiperatividade (TDAH) e o Transtorno Bipolar (TB) representam áreas de grande interesse na neurobiologia e psiquiatria modernas, uma vez que seus mecanismos ainda não estão totalmente elucidados. Muitos estudos buscam compreender melhor os processos biológicos, psicológicos e sociais associados a esses distúrbios. Novas pesquisas podem conduzir ao desenvolvimento de terapias mais eficazes e ao alívio do sofrimento de milhões de pessoas afetadas. O TDAH é caracterizado por persistentes déficits de atenção, impulsividade e hiperatividade, enquanto o THB é marcado por episódios alternados de humor elevado e depressão, de acordo com a Associação Americana de Psiquiatria e pesquisadores (AMERICAN PSYCHIATRIC ASSOCIATION, 2013; MERIKANGAS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2007).</w:t>
      </w:r>
    </w:p>
    <w:p w14:paraId="5DD85548"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A epidemiologia desses transtornos revela sua grande relevância clínica e social. O TDAH é um dos mais comuns transtornos psiquiátricos na infância, afetando cerca de 5% das crianças em idade escolar, e persistindo em aproximadamente metade dos casos até a vida adulta (POLANCZYK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2015). Por outro lado, estima-se que o THB tenha menor prevalência, em cerca de 2% da população adulta, mas ainda assim representa significativa carga de morbidade e incapacidade, de acordo com estudos (MERIKANGAS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2007).</w:t>
      </w:r>
    </w:p>
    <w:p w14:paraId="4F4C9F12"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entendimento dos intrincados mecanismos neurológicos subjacentes ao Transtorno do Déficit de Atenção e Hiperatividade e ao Transtorno Bipolar é fundamental para o desenvolvimento de intervenções terapêuticas mais eficazes e especializadas. Estudos neurocientíficos demonstraram mudanças anatômicas e funcionais em regiões cerebrais distintas relacionadas a esses distúrbios. No caso do TDAH, por exemplo, nota-se uma diminuição no volume do córtex pré-frontal, uma região envolvida no controle da atenção e do comportamento impulsivo de modo explosivo (SHAW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2007). Já no THB, encontram-se alterações na atividade do sistema límbico, incluindo a amígdala, de maneira perplexamente variada, e o hipocampo, correlacionadas aos sintomas de mania e depressão de modo desigual (STRAKOWSKI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2012).</w:t>
      </w:r>
    </w:p>
    <w:p w14:paraId="497F4F4E"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Além das diferenças neurobiológicas entre o TDAH e o THB, há também uma sobreposição considerável nos fatores de risco associados a esses transtornos. Fatores genéticos desempenham um papel significativo na </w:t>
      </w:r>
      <w:proofErr w:type="spellStart"/>
      <w:r w:rsidRPr="0061755D">
        <w:rPr>
          <w:color w:val="000000"/>
          <w:spacing w:val="-6"/>
          <w:sz w:val="20"/>
          <w:szCs w:val="20"/>
        </w:rPr>
        <w:t>susceptibilidade</w:t>
      </w:r>
      <w:proofErr w:type="spellEnd"/>
      <w:r w:rsidRPr="0061755D">
        <w:rPr>
          <w:color w:val="000000"/>
          <w:spacing w:val="-6"/>
          <w:sz w:val="20"/>
          <w:szCs w:val="20"/>
        </w:rPr>
        <w:t xml:space="preserve"> a ambos os transtornos, embora o ambiente também exerça uma influência substancial no seu desenvolvimento (THAPAR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2013; KIESEPPÄ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2004). Trauma na infância, estresse crônico e história familiar de transtornos psiquiátricos estão entre os fatores ambientais e de risco compartilhados entre o TDAH e o THB (WAXMONSKY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2008; ETAIN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2010).</w:t>
      </w:r>
    </w:p>
    <w:p w14:paraId="34122E0A"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bookmarkStart w:id="2" w:name="_m0z2p9ffgj1z" w:colFirst="0" w:colLast="0"/>
      <w:bookmarkEnd w:id="2"/>
      <w:r w:rsidRPr="0061755D">
        <w:rPr>
          <w:color w:val="000000"/>
          <w:spacing w:val="-6"/>
          <w:sz w:val="20"/>
          <w:szCs w:val="20"/>
        </w:rPr>
        <w:t xml:space="preserve">Em resumo, os transtornos psiquiátricos, como o TDAH e o THB, apresentam uma complexa interação entre fatores genéticos, neurobiológicos e ambientais. A compreensão desses transtornos requer uma abordagem integrativa que considere não apenas os </w:t>
      </w:r>
      <w:proofErr w:type="spellStart"/>
      <w:r w:rsidRPr="0061755D">
        <w:rPr>
          <w:color w:val="000000"/>
          <w:spacing w:val="-6"/>
          <w:sz w:val="20"/>
          <w:szCs w:val="20"/>
        </w:rPr>
        <w:t>aspectos</w:t>
      </w:r>
      <w:proofErr w:type="spellEnd"/>
      <w:r w:rsidRPr="0061755D">
        <w:rPr>
          <w:color w:val="000000"/>
          <w:spacing w:val="-6"/>
          <w:sz w:val="20"/>
          <w:szCs w:val="20"/>
        </w:rPr>
        <w:t xml:space="preserve"> clínicos, mas também suas bases neurobiológicas. Essa compreensão mais profunda pode informar o desenvolvimento de intervenções terapêuticas mais eficazes e personalizadas, visando melhorar os resultados clínicos e a qualidade de vida dos pacientes afetados por essas condições.</w:t>
      </w:r>
    </w:p>
    <w:p w14:paraId="3154404B" w14:textId="77777777" w:rsidR="007D1375" w:rsidRPr="0061755D" w:rsidRDefault="007D1375" w:rsidP="0061755D">
      <w:pPr>
        <w:pStyle w:val="Ttulo3"/>
        <w:spacing w:before="80" w:after="60"/>
        <w:ind w:right="142"/>
        <w:rPr>
          <w:rFonts w:ascii="Times New Roman" w:hAnsi="Times New Roman" w:cs="Times New Roman"/>
          <w:b/>
          <w:bCs/>
          <w:color w:val="000000" w:themeColor="text1"/>
          <w:spacing w:val="-6"/>
        </w:rPr>
      </w:pPr>
      <w:r w:rsidRPr="0061755D">
        <w:rPr>
          <w:rFonts w:ascii="Times New Roman" w:hAnsi="Times New Roman" w:cs="Times New Roman"/>
          <w:b/>
          <w:bCs/>
          <w:color w:val="000000" w:themeColor="text1"/>
          <w:spacing w:val="-6"/>
        </w:rPr>
        <w:lastRenderedPageBreak/>
        <w:t>NEUROBIOLOGIA DO TRANSTORNO DE DÉFICIT DE ATENÇÃO E HIPERATIVIDADE (TDAH)</w:t>
      </w:r>
    </w:p>
    <w:p w14:paraId="330B6AE6"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TDAH é um transtorno neuropsiquiátrico caracterizado por sintomas de desatenção, hiperatividade e impulsividade, que impactam significativamente o funcionamento diário dos indivíduos afetados. Sua neurobiologia é complexa e multifacetada, envolvendo diversos sistemas </w:t>
      </w:r>
      <w:proofErr w:type="spellStart"/>
      <w:r w:rsidRPr="0061755D">
        <w:rPr>
          <w:color w:val="000000"/>
          <w:spacing w:val="-6"/>
          <w:sz w:val="20"/>
          <w:szCs w:val="20"/>
        </w:rPr>
        <w:t>neuroquímicos</w:t>
      </w:r>
      <w:proofErr w:type="spellEnd"/>
      <w:r w:rsidRPr="0061755D">
        <w:rPr>
          <w:color w:val="000000"/>
          <w:spacing w:val="-6"/>
          <w:sz w:val="20"/>
          <w:szCs w:val="20"/>
        </w:rPr>
        <w:t>, circuitos cerebrais e fatores genéticos e ambientais.</w:t>
      </w:r>
    </w:p>
    <w:p w14:paraId="5810D890"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Uma das teorias proeminentes é a hipótese dopaminérgica, que postula disfunções no sistema dopaminérgico como um dos principais mecanismos subjacentes ao TDAH (BANASCHEWSKI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w:t>
      </w:r>
      <w:r w:rsidRPr="0061755D">
        <w:rPr>
          <w:color w:val="FF0000"/>
          <w:spacing w:val="-6"/>
          <w:sz w:val="20"/>
          <w:szCs w:val="20"/>
        </w:rPr>
        <w:t xml:space="preserve"> </w:t>
      </w:r>
      <w:r w:rsidRPr="0061755D">
        <w:rPr>
          <w:color w:val="000000"/>
          <w:spacing w:val="-6"/>
          <w:sz w:val="20"/>
          <w:szCs w:val="20"/>
        </w:rPr>
        <w:t xml:space="preserve">2018). É importante ressaltar que polimorfismos em genes relacionados à dopamina, como o gene DAT1, estão associados ao transtorno. Ademais, evidências de neuroimagem funcional têm apontado para reduções na atividade dopaminérgica em áreas cerebrais como o córtex pré-frontal e os gânglios da base em indivíduos com TDAH (BANASCHEWSKI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2018).</w:t>
      </w:r>
    </w:p>
    <w:p w14:paraId="1950F271"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Outro sistema neurotransmissor envolvido é o </w:t>
      </w:r>
      <w:proofErr w:type="spellStart"/>
      <w:r w:rsidRPr="0061755D">
        <w:rPr>
          <w:color w:val="000000"/>
          <w:spacing w:val="-6"/>
          <w:sz w:val="20"/>
          <w:szCs w:val="20"/>
        </w:rPr>
        <w:t>noradrenérgico</w:t>
      </w:r>
      <w:proofErr w:type="spellEnd"/>
      <w:r w:rsidRPr="0061755D">
        <w:rPr>
          <w:color w:val="000000"/>
          <w:spacing w:val="-6"/>
          <w:sz w:val="20"/>
          <w:szCs w:val="20"/>
        </w:rPr>
        <w:t xml:space="preserve">. Conforme as atualizações científicas atuais, há alterações na função e na densidade de </w:t>
      </w:r>
      <w:proofErr w:type="spellStart"/>
      <w:r w:rsidRPr="0061755D">
        <w:rPr>
          <w:color w:val="000000"/>
          <w:spacing w:val="-6"/>
          <w:sz w:val="20"/>
          <w:szCs w:val="20"/>
        </w:rPr>
        <w:t>receptores</w:t>
      </w:r>
      <w:proofErr w:type="spellEnd"/>
      <w:r w:rsidRPr="0061755D">
        <w:rPr>
          <w:color w:val="000000"/>
          <w:spacing w:val="-6"/>
          <w:sz w:val="20"/>
          <w:szCs w:val="20"/>
        </w:rPr>
        <w:t xml:space="preserve"> adrenérgicos em regiões cerebrais relacionadas à atenção e ao controle motor em pacientes com TDAH (KESSI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2022). Essa disfunção </w:t>
      </w:r>
      <w:proofErr w:type="spellStart"/>
      <w:r w:rsidRPr="0061755D">
        <w:rPr>
          <w:color w:val="000000"/>
          <w:spacing w:val="-6"/>
          <w:sz w:val="20"/>
          <w:szCs w:val="20"/>
        </w:rPr>
        <w:t>noradrenérgica</w:t>
      </w:r>
      <w:proofErr w:type="spellEnd"/>
      <w:r w:rsidRPr="0061755D">
        <w:rPr>
          <w:color w:val="000000"/>
          <w:spacing w:val="-6"/>
          <w:sz w:val="20"/>
          <w:szCs w:val="20"/>
        </w:rPr>
        <w:t xml:space="preserve"> pode contribuir para os sintomas de hiperatividade e impulsividade observados no transtorno.</w:t>
      </w:r>
    </w:p>
    <w:p w14:paraId="5171A2A1"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A pesquisa genética também tem contribuído significativamente para a compreensão do TDAH. Estudos de </w:t>
      </w:r>
      <w:proofErr w:type="spellStart"/>
      <w:r w:rsidRPr="0061755D">
        <w:rPr>
          <w:color w:val="000000"/>
          <w:spacing w:val="-6"/>
          <w:sz w:val="20"/>
          <w:szCs w:val="20"/>
        </w:rPr>
        <w:t>genômica</w:t>
      </w:r>
      <w:proofErr w:type="spellEnd"/>
      <w:r w:rsidRPr="0061755D">
        <w:rPr>
          <w:color w:val="000000"/>
          <w:spacing w:val="-6"/>
          <w:sz w:val="20"/>
          <w:szCs w:val="20"/>
        </w:rPr>
        <w:t xml:space="preserve"> ampla identificaram diversas variantes genéticas associadas ao transtorno, algumas das quais relacionadas à regulação neural do comportamento e à plasticidade sináptica (KESSI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2022).</w:t>
      </w:r>
    </w:p>
    <w:p w14:paraId="0F78E291" w14:textId="509FDD04"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Além das alterações </w:t>
      </w:r>
      <w:proofErr w:type="spellStart"/>
      <w:r w:rsidRPr="0061755D">
        <w:rPr>
          <w:color w:val="000000"/>
          <w:spacing w:val="-6"/>
          <w:sz w:val="20"/>
          <w:szCs w:val="20"/>
        </w:rPr>
        <w:t>neuroquímicas</w:t>
      </w:r>
      <w:proofErr w:type="spellEnd"/>
      <w:r w:rsidRPr="0061755D">
        <w:rPr>
          <w:color w:val="000000"/>
          <w:spacing w:val="-6"/>
          <w:sz w:val="20"/>
          <w:szCs w:val="20"/>
        </w:rPr>
        <w:t xml:space="preserve"> e genéticas, análises de neuroimagem estrutural têm revelado diferenças no volume e na morfologia de várias regiões cerebrais em indivíduos com TDAH (KESSI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2022). Observou-se uma</w:t>
      </w:r>
      <w:r w:rsidR="00196D2B">
        <w:rPr>
          <w:color w:val="000000"/>
          <w:spacing w:val="-6"/>
          <w:sz w:val="20"/>
          <w:szCs w:val="20"/>
        </w:rPr>
        <w:t xml:space="preserve"> </w:t>
      </w:r>
      <w:r w:rsidRPr="0061755D">
        <w:rPr>
          <w:color w:val="000000"/>
          <w:spacing w:val="-6"/>
          <w:sz w:val="20"/>
          <w:szCs w:val="20"/>
        </w:rPr>
        <w:t>redução no volume do córtex pré-frontal e do corpo caloso, bem como disfunções na conectividade funcional entre redes cerebrais envolvidas na atenção e no controle executivo.</w:t>
      </w:r>
    </w:p>
    <w:p w14:paraId="2B98939E"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bookmarkStart w:id="3" w:name="_6e04zu58nwjt" w:colFirst="0" w:colLast="0"/>
      <w:bookmarkEnd w:id="3"/>
      <w:r w:rsidRPr="0061755D">
        <w:rPr>
          <w:color w:val="000000"/>
          <w:spacing w:val="-6"/>
          <w:sz w:val="20"/>
          <w:szCs w:val="20"/>
        </w:rPr>
        <w:t xml:space="preserve">O TDAH, portanto, é uma condição neuropsiquiátrica complexa, influenciada por uma interação multifacetada entre fatores genéticos, </w:t>
      </w:r>
      <w:proofErr w:type="spellStart"/>
      <w:r w:rsidRPr="0061755D">
        <w:rPr>
          <w:color w:val="000000"/>
          <w:spacing w:val="-6"/>
          <w:sz w:val="20"/>
          <w:szCs w:val="20"/>
        </w:rPr>
        <w:t>neuroquímicos</w:t>
      </w:r>
      <w:proofErr w:type="spellEnd"/>
      <w:r w:rsidRPr="0061755D">
        <w:rPr>
          <w:color w:val="000000"/>
          <w:spacing w:val="-6"/>
          <w:sz w:val="20"/>
          <w:szCs w:val="20"/>
        </w:rPr>
        <w:t xml:space="preserve"> e ambientais. A compreensão desses mecanismos subjacentes é fundamental para o desenvolvimento de abordagens terapêuticas mais eficazes e personalizadas para o manejo do TDAH (BANASCHEWSKI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2018). Pesquisas futuras devem continuar explorando essas interações para aprimorar o diagnóstico e o tratamento desse transtorno.</w:t>
      </w:r>
    </w:p>
    <w:p w14:paraId="6D4A87C4" w14:textId="77777777" w:rsidR="007D1375" w:rsidRPr="0061755D" w:rsidRDefault="007D1375" w:rsidP="0061755D">
      <w:pPr>
        <w:pStyle w:val="Ttulo3"/>
        <w:spacing w:before="80" w:after="60"/>
        <w:ind w:right="142"/>
        <w:rPr>
          <w:rFonts w:ascii="Times New Roman" w:hAnsi="Times New Roman" w:cs="Times New Roman"/>
          <w:b/>
          <w:bCs/>
          <w:color w:val="000000" w:themeColor="text1"/>
          <w:spacing w:val="-6"/>
          <w:sz w:val="22"/>
          <w:szCs w:val="22"/>
        </w:rPr>
      </w:pPr>
      <w:r w:rsidRPr="0061755D">
        <w:rPr>
          <w:rFonts w:ascii="Times New Roman" w:hAnsi="Times New Roman" w:cs="Times New Roman"/>
          <w:b/>
          <w:bCs/>
          <w:color w:val="000000" w:themeColor="text1"/>
          <w:spacing w:val="-6"/>
          <w:sz w:val="22"/>
          <w:szCs w:val="22"/>
        </w:rPr>
        <w:t>NEUROBIOLOGIA DO TRANSTORNO DE HUMOR BIPOLAR (THB)</w:t>
      </w:r>
    </w:p>
    <w:p w14:paraId="4D23DF12"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Transtorno de Humor Bipolar (THB) é uma condição psiquiátrica complexa caracterizada por alterações extremas do humor, que podem variar desde episódios de euforia e aumento de energia, durante a fase maníaca, até períodos de profunda tristeza e desânimo, durante a fase depressiva (YATHAM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2018). A neurobiologia do THB é multifacetada, envolvendo uma interação intrincada entre fatores genéticos, </w:t>
      </w:r>
      <w:proofErr w:type="spellStart"/>
      <w:r w:rsidRPr="0061755D">
        <w:rPr>
          <w:color w:val="000000"/>
          <w:spacing w:val="-6"/>
          <w:sz w:val="20"/>
          <w:szCs w:val="20"/>
        </w:rPr>
        <w:t>neuroquímicos</w:t>
      </w:r>
      <w:proofErr w:type="spellEnd"/>
      <w:r w:rsidRPr="0061755D">
        <w:rPr>
          <w:color w:val="000000"/>
          <w:spacing w:val="-6"/>
          <w:sz w:val="20"/>
          <w:szCs w:val="20"/>
        </w:rPr>
        <w:t xml:space="preserve"> e ambientais.</w:t>
      </w:r>
    </w:p>
    <w:p w14:paraId="743181AA" w14:textId="77777777" w:rsidR="007D1375" w:rsidRPr="0061755D" w:rsidRDefault="007D1375" w:rsidP="0061755D">
      <w:pPr>
        <w:pBdr>
          <w:top w:val="nil"/>
          <w:left w:val="nil"/>
          <w:bottom w:val="nil"/>
          <w:right w:val="nil"/>
          <w:between w:val="nil"/>
        </w:pBdr>
        <w:spacing w:after="60"/>
        <w:ind w:right="142"/>
        <w:jc w:val="both"/>
        <w:rPr>
          <w:color w:val="FF0000"/>
          <w:spacing w:val="-6"/>
          <w:sz w:val="20"/>
          <w:szCs w:val="20"/>
        </w:rPr>
      </w:pPr>
      <w:r w:rsidRPr="0061755D">
        <w:rPr>
          <w:color w:val="000000"/>
          <w:spacing w:val="-6"/>
          <w:sz w:val="20"/>
          <w:szCs w:val="20"/>
        </w:rPr>
        <w:t xml:space="preserve">Uma das teorias neurobiológicas mais estudadas é a hipótese do desequilíbrio </w:t>
      </w:r>
      <w:proofErr w:type="spellStart"/>
      <w:r w:rsidRPr="0061755D">
        <w:rPr>
          <w:color w:val="000000"/>
          <w:spacing w:val="-6"/>
          <w:sz w:val="20"/>
          <w:szCs w:val="20"/>
        </w:rPr>
        <w:t>neuroquímico</w:t>
      </w:r>
      <w:proofErr w:type="spellEnd"/>
      <w:r w:rsidRPr="0061755D">
        <w:rPr>
          <w:color w:val="000000"/>
          <w:spacing w:val="-6"/>
          <w:sz w:val="20"/>
          <w:szCs w:val="20"/>
        </w:rPr>
        <w:t xml:space="preserve">, que postula que alterações nos sistemas de </w:t>
      </w:r>
      <w:proofErr w:type="spellStart"/>
      <w:r w:rsidRPr="0061755D">
        <w:rPr>
          <w:color w:val="000000"/>
          <w:spacing w:val="-6"/>
          <w:sz w:val="20"/>
          <w:szCs w:val="20"/>
        </w:rPr>
        <w:t>neurotransmissão</w:t>
      </w:r>
      <w:proofErr w:type="spellEnd"/>
      <w:r w:rsidRPr="0061755D">
        <w:rPr>
          <w:color w:val="000000"/>
          <w:spacing w:val="-6"/>
          <w:sz w:val="20"/>
          <w:szCs w:val="20"/>
        </w:rPr>
        <w:t xml:space="preserve"> </w:t>
      </w:r>
      <w:proofErr w:type="spellStart"/>
      <w:r w:rsidRPr="0061755D">
        <w:rPr>
          <w:color w:val="000000"/>
          <w:spacing w:val="-6"/>
          <w:sz w:val="20"/>
          <w:szCs w:val="20"/>
        </w:rPr>
        <w:t>monoaminérgicos</w:t>
      </w:r>
      <w:proofErr w:type="spellEnd"/>
      <w:r w:rsidRPr="0061755D">
        <w:rPr>
          <w:color w:val="000000"/>
          <w:spacing w:val="-6"/>
          <w:sz w:val="20"/>
          <w:szCs w:val="20"/>
        </w:rPr>
        <w:t xml:space="preserve">, como dopamina, noradrenalina e serotonina, desempenham um papel central na </w:t>
      </w:r>
      <w:proofErr w:type="spellStart"/>
      <w:r w:rsidRPr="0061755D">
        <w:rPr>
          <w:color w:val="000000"/>
          <w:spacing w:val="-6"/>
          <w:sz w:val="20"/>
          <w:szCs w:val="20"/>
        </w:rPr>
        <w:t>patogênese</w:t>
      </w:r>
      <w:proofErr w:type="spellEnd"/>
      <w:r w:rsidRPr="0061755D">
        <w:rPr>
          <w:color w:val="000000"/>
          <w:spacing w:val="-6"/>
          <w:sz w:val="20"/>
          <w:szCs w:val="20"/>
        </w:rPr>
        <w:t xml:space="preserve"> do THB (BARION</w:t>
      </w:r>
      <w:r w:rsidRPr="0061755D">
        <w:rPr>
          <w:spacing w:val="-6"/>
          <w:sz w:val="20"/>
          <w:szCs w:val="20"/>
        </w:rPr>
        <w:t>; JESUS</w:t>
      </w:r>
      <w:r w:rsidRPr="0061755D">
        <w:rPr>
          <w:color w:val="000000"/>
          <w:spacing w:val="-6"/>
          <w:sz w:val="20"/>
          <w:szCs w:val="20"/>
        </w:rPr>
        <w:t>,</w:t>
      </w:r>
      <w:r w:rsidRPr="0061755D">
        <w:rPr>
          <w:color w:val="FF0000"/>
          <w:spacing w:val="-6"/>
          <w:sz w:val="20"/>
          <w:szCs w:val="20"/>
        </w:rPr>
        <w:t xml:space="preserve"> </w:t>
      </w:r>
      <w:r w:rsidRPr="0061755D">
        <w:rPr>
          <w:color w:val="000000"/>
          <w:spacing w:val="-6"/>
          <w:sz w:val="20"/>
          <w:szCs w:val="20"/>
        </w:rPr>
        <w:t xml:space="preserve">2023). Por exemplo, evidências sugerem que durante episódios de mania, há </w:t>
      </w:r>
      <w:r w:rsidRPr="0061755D">
        <w:rPr>
          <w:color w:val="000000"/>
          <w:spacing w:val="-6"/>
          <w:sz w:val="20"/>
          <w:szCs w:val="20"/>
        </w:rPr>
        <w:t xml:space="preserve">um aumento na atividade dopaminérgica, enquanto durante a depressão, pode ocorrer uma diminuição na atividade </w:t>
      </w:r>
      <w:proofErr w:type="spellStart"/>
      <w:r w:rsidRPr="0061755D">
        <w:rPr>
          <w:color w:val="000000"/>
          <w:spacing w:val="-6"/>
          <w:sz w:val="20"/>
          <w:szCs w:val="20"/>
        </w:rPr>
        <w:t>serotonérgica</w:t>
      </w:r>
      <w:proofErr w:type="spellEnd"/>
      <w:r w:rsidRPr="0061755D">
        <w:rPr>
          <w:color w:val="000000"/>
          <w:spacing w:val="-6"/>
          <w:sz w:val="20"/>
          <w:szCs w:val="20"/>
        </w:rPr>
        <w:t xml:space="preserve">. Além disso, estudos têm demonstrado que o sistema </w:t>
      </w:r>
      <w:proofErr w:type="spellStart"/>
      <w:r w:rsidRPr="0061755D">
        <w:rPr>
          <w:color w:val="000000"/>
          <w:spacing w:val="-6"/>
          <w:sz w:val="20"/>
          <w:szCs w:val="20"/>
        </w:rPr>
        <w:t>glutamatérgico</w:t>
      </w:r>
      <w:proofErr w:type="spellEnd"/>
      <w:r w:rsidRPr="0061755D">
        <w:rPr>
          <w:color w:val="000000"/>
          <w:spacing w:val="-6"/>
          <w:sz w:val="20"/>
          <w:szCs w:val="20"/>
        </w:rPr>
        <w:t xml:space="preserve"> também desempenha um papel importante na neurobiologia do THB, especialmente na regulação da </w:t>
      </w:r>
      <w:proofErr w:type="spellStart"/>
      <w:r w:rsidRPr="0061755D">
        <w:rPr>
          <w:color w:val="000000"/>
          <w:spacing w:val="-6"/>
          <w:sz w:val="20"/>
          <w:szCs w:val="20"/>
        </w:rPr>
        <w:t>neuroprogressão</w:t>
      </w:r>
      <w:proofErr w:type="spellEnd"/>
      <w:r w:rsidRPr="0061755D">
        <w:rPr>
          <w:color w:val="000000"/>
          <w:spacing w:val="-6"/>
          <w:sz w:val="20"/>
          <w:szCs w:val="20"/>
        </w:rPr>
        <w:t xml:space="preserve"> da doença (GRASSI-OLIVEIRA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2014).</w:t>
      </w:r>
      <w:r w:rsidRPr="0061755D">
        <w:rPr>
          <w:color w:val="FF0000"/>
          <w:spacing w:val="-6"/>
          <w:sz w:val="20"/>
          <w:szCs w:val="20"/>
        </w:rPr>
        <w:t xml:space="preserve"> </w:t>
      </w:r>
    </w:p>
    <w:p w14:paraId="2A484594"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Outra teoria relevante é a hipótese da disfunção </w:t>
      </w:r>
      <w:proofErr w:type="spellStart"/>
      <w:r w:rsidRPr="0061755D">
        <w:rPr>
          <w:color w:val="000000"/>
          <w:spacing w:val="-6"/>
          <w:sz w:val="20"/>
          <w:szCs w:val="20"/>
        </w:rPr>
        <w:t>neuroplástica</w:t>
      </w:r>
      <w:proofErr w:type="spellEnd"/>
      <w:r w:rsidRPr="0061755D">
        <w:rPr>
          <w:color w:val="000000"/>
          <w:spacing w:val="-6"/>
          <w:sz w:val="20"/>
          <w:szCs w:val="20"/>
        </w:rPr>
        <w:t xml:space="preserve">, que sugere que alterações na plasticidade sináptica e na </w:t>
      </w:r>
      <w:proofErr w:type="spellStart"/>
      <w:r w:rsidRPr="0061755D">
        <w:rPr>
          <w:color w:val="000000"/>
          <w:spacing w:val="-6"/>
          <w:sz w:val="20"/>
          <w:szCs w:val="20"/>
        </w:rPr>
        <w:t>neurogênese</w:t>
      </w:r>
      <w:proofErr w:type="spellEnd"/>
      <w:r w:rsidRPr="0061755D">
        <w:rPr>
          <w:color w:val="000000"/>
          <w:spacing w:val="-6"/>
          <w:sz w:val="20"/>
          <w:szCs w:val="20"/>
        </w:rPr>
        <w:t xml:space="preserve"> podem contribuir para a </w:t>
      </w:r>
      <w:proofErr w:type="spellStart"/>
      <w:r w:rsidRPr="0061755D">
        <w:rPr>
          <w:color w:val="000000"/>
          <w:spacing w:val="-6"/>
          <w:sz w:val="20"/>
          <w:szCs w:val="20"/>
        </w:rPr>
        <w:t>patogênese</w:t>
      </w:r>
      <w:proofErr w:type="spellEnd"/>
      <w:r w:rsidRPr="0061755D">
        <w:rPr>
          <w:color w:val="000000"/>
          <w:spacing w:val="-6"/>
          <w:sz w:val="20"/>
          <w:szCs w:val="20"/>
        </w:rPr>
        <w:t xml:space="preserve"> do THB. Por exemplo, tem sido observado que pacientes com THB apresentam níveis reduzidos de fator </w:t>
      </w:r>
      <w:proofErr w:type="spellStart"/>
      <w:r w:rsidRPr="0061755D">
        <w:rPr>
          <w:color w:val="000000"/>
          <w:spacing w:val="-6"/>
          <w:sz w:val="20"/>
          <w:szCs w:val="20"/>
        </w:rPr>
        <w:t>neurotrófico</w:t>
      </w:r>
      <w:proofErr w:type="spellEnd"/>
      <w:r w:rsidRPr="0061755D">
        <w:rPr>
          <w:color w:val="000000"/>
          <w:spacing w:val="-6"/>
          <w:sz w:val="20"/>
          <w:szCs w:val="20"/>
        </w:rPr>
        <w:t xml:space="preserve"> derivado do cérebro (BDNF), uma proteína que desempenha um papel crucial na regulação da plasticidade neuronal e na sobrevivência celular (GRASSI-OLIVEIRA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2014).</w:t>
      </w:r>
    </w:p>
    <w:p w14:paraId="31A20B1E"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Além das teorias neurobiológicas, a genética também promove um papel importante no desenvolvimento do THB. Estudos genéticos têm identificado uma série de variantes genéticas associadas ao transtorno, muitas das quais estão envolvidas na regulação da </w:t>
      </w:r>
      <w:proofErr w:type="spellStart"/>
      <w:r w:rsidRPr="0061755D">
        <w:rPr>
          <w:color w:val="000000"/>
          <w:spacing w:val="-6"/>
          <w:sz w:val="20"/>
          <w:szCs w:val="20"/>
        </w:rPr>
        <w:t>neurotransmissão</w:t>
      </w:r>
      <w:proofErr w:type="spellEnd"/>
      <w:r w:rsidRPr="0061755D">
        <w:rPr>
          <w:color w:val="000000"/>
          <w:spacing w:val="-6"/>
          <w:sz w:val="20"/>
          <w:szCs w:val="20"/>
        </w:rPr>
        <w:t xml:space="preserve"> e na resposta ao estresse. A interação entre fatores genéticos e ambientais parece modular o risco e a expressão fenotípica do THB, influenciando sua gravidade e curso clínico </w:t>
      </w:r>
      <w:bookmarkStart w:id="4" w:name="_oj1bpp8qmq86" w:colFirst="0" w:colLast="0"/>
      <w:bookmarkEnd w:id="4"/>
      <w:r w:rsidRPr="0061755D">
        <w:rPr>
          <w:color w:val="000000"/>
          <w:spacing w:val="-6"/>
          <w:sz w:val="20"/>
          <w:szCs w:val="20"/>
        </w:rPr>
        <w:t>(</w:t>
      </w:r>
      <w:r w:rsidRPr="0061755D">
        <w:rPr>
          <w:spacing w:val="-6"/>
          <w:sz w:val="20"/>
          <w:szCs w:val="20"/>
        </w:rPr>
        <w:t>BARION; JESUS</w:t>
      </w:r>
      <w:r w:rsidRPr="0061755D">
        <w:rPr>
          <w:color w:val="000000"/>
          <w:spacing w:val="-6"/>
          <w:sz w:val="20"/>
          <w:szCs w:val="20"/>
        </w:rPr>
        <w:t>, 20</w:t>
      </w:r>
      <w:r w:rsidRPr="0061755D">
        <w:rPr>
          <w:spacing w:val="-6"/>
          <w:sz w:val="20"/>
          <w:szCs w:val="20"/>
        </w:rPr>
        <w:t>23</w:t>
      </w:r>
      <w:r w:rsidRPr="0061755D">
        <w:rPr>
          <w:color w:val="000000"/>
          <w:spacing w:val="-6"/>
          <w:sz w:val="20"/>
          <w:szCs w:val="20"/>
        </w:rPr>
        <w:t>).</w:t>
      </w:r>
    </w:p>
    <w:p w14:paraId="30915B43"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THB, dessa forma, é uma condição psiquiátrica complexa, cuja neurobiologia reflete uma interação multifacetada entre fatores genéticos, </w:t>
      </w:r>
      <w:proofErr w:type="spellStart"/>
      <w:r w:rsidRPr="0061755D">
        <w:rPr>
          <w:color w:val="000000"/>
          <w:spacing w:val="-6"/>
          <w:sz w:val="20"/>
          <w:szCs w:val="20"/>
        </w:rPr>
        <w:t>neuroquímicos</w:t>
      </w:r>
      <w:proofErr w:type="spellEnd"/>
      <w:r w:rsidRPr="0061755D">
        <w:rPr>
          <w:color w:val="000000"/>
          <w:spacing w:val="-6"/>
          <w:sz w:val="20"/>
          <w:szCs w:val="20"/>
        </w:rPr>
        <w:t xml:space="preserve"> e ambientais. A compreensão desses mecanismos subjacentes é crucial para o desenvolvimento de estratégias terapêuticas mais eficazes e personalizadas para o manejo do THB (GRASSI-OLIVEIRA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2014). Pesquisas futuras que integrem abordagens neurobiológicas, genéticas e clínicas são fundamentais para avançar nosso conhecimento sobre essa condição e melhorar o tratamento de indivíduos afetados.</w:t>
      </w:r>
    </w:p>
    <w:p w14:paraId="2BA96A22" w14:textId="77777777" w:rsidR="007D1375" w:rsidRPr="0061755D" w:rsidRDefault="007D1375" w:rsidP="0061755D">
      <w:pPr>
        <w:pStyle w:val="Ttulo2"/>
        <w:spacing w:before="80" w:after="60"/>
        <w:ind w:right="142"/>
        <w:rPr>
          <w:rFonts w:ascii="Times New Roman" w:hAnsi="Times New Roman" w:cs="Times New Roman"/>
          <w:b/>
          <w:bCs/>
          <w:color w:val="000000" w:themeColor="text1"/>
          <w:spacing w:val="-6"/>
          <w:sz w:val="24"/>
          <w:szCs w:val="24"/>
        </w:rPr>
      </w:pPr>
      <w:bookmarkStart w:id="5" w:name="_ywlymxsgtfnc" w:colFirst="0" w:colLast="0"/>
      <w:bookmarkStart w:id="6" w:name="_Hlk200124794"/>
      <w:bookmarkEnd w:id="5"/>
      <w:r w:rsidRPr="0061755D">
        <w:rPr>
          <w:rFonts w:ascii="Times New Roman" w:hAnsi="Times New Roman" w:cs="Times New Roman"/>
          <w:b/>
          <w:bCs/>
          <w:color w:val="000000" w:themeColor="text1"/>
          <w:spacing w:val="-6"/>
          <w:sz w:val="24"/>
          <w:szCs w:val="24"/>
        </w:rPr>
        <w:t>BASES TERAPÊUTICAS (PSICOFARMACOLÓGICA E FARMACOLÓGICA):</w:t>
      </w:r>
      <w:bookmarkEnd w:id="6"/>
      <w:r w:rsidRPr="0061755D">
        <w:rPr>
          <w:rFonts w:ascii="Times New Roman" w:hAnsi="Times New Roman" w:cs="Times New Roman"/>
          <w:b/>
          <w:bCs/>
          <w:color w:val="000000" w:themeColor="text1"/>
          <w:spacing w:val="-6"/>
          <w:sz w:val="24"/>
          <w:szCs w:val="24"/>
        </w:rPr>
        <w:t xml:space="preserve"> TDAH</w:t>
      </w:r>
    </w:p>
    <w:p w14:paraId="06F18558"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Transtorno do Déficit de Atenção e Hiperatividade (TDAH) é geralmente tratado com uma abordagem multidisciplinar, o que inclui terapia comportamental, </w:t>
      </w:r>
      <w:proofErr w:type="spellStart"/>
      <w:r w:rsidRPr="0061755D">
        <w:rPr>
          <w:color w:val="000000"/>
          <w:spacing w:val="-6"/>
          <w:sz w:val="20"/>
          <w:szCs w:val="20"/>
        </w:rPr>
        <w:t>psicoeducação</w:t>
      </w:r>
      <w:proofErr w:type="spellEnd"/>
      <w:r w:rsidRPr="0061755D">
        <w:rPr>
          <w:color w:val="000000"/>
          <w:spacing w:val="-6"/>
          <w:sz w:val="20"/>
          <w:szCs w:val="20"/>
        </w:rPr>
        <w:t xml:space="preserve">, suporte familiar e, em alguns casos, intervenção farmacológica, sobretudo por ser um transtorno mais comum na infância. Apesar das possibilidades, a abordagem farmacológica minimiza os sintomas, garante melhorias nos resultados funcionais e na qualidade de vida (CAMPOS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2025).</w:t>
      </w:r>
    </w:p>
    <w:p w14:paraId="7A954394"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Os principais fármacos disponíveis no Brasil, que foram regulamentados pela Portaria nº 344, de 12 de maio de 1998, da ANVISA (BRASIL, 1998), são o Cloridrato de Metilfenidato e no </w:t>
      </w:r>
      <w:proofErr w:type="spellStart"/>
      <w:r w:rsidRPr="0061755D">
        <w:rPr>
          <w:color w:val="000000"/>
          <w:spacing w:val="-6"/>
          <w:sz w:val="20"/>
          <w:szCs w:val="20"/>
        </w:rPr>
        <w:t>Dimesilato</w:t>
      </w:r>
      <w:proofErr w:type="spellEnd"/>
      <w:r w:rsidRPr="0061755D">
        <w:rPr>
          <w:color w:val="000000"/>
          <w:spacing w:val="-6"/>
          <w:sz w:val="20"/>
          <w:szCs w:val="20"/>
        </w:rPr>
        <w:t xml:space="preserve"> de </w:t>
      </w:r>
      <w:proofErr w:type="spellStart"/>
      <w:r w:rsidRPr="0061755D">
        <w:rPr>
          <w:color w:val="000000"/>
          <w:spacing w:val="-6"/>
          <w:sz w:val="20"/>
          <w:szCs w:val="20"/>
        </w:rPr>
        <w:t>Lisdexanfetamina</w:t>
      </w:r>
      <w:proofErr w:type="spellEnd"/>
      <w:r w:rsidRPr="0061755D">
        <w:rPr>
          <w:color w:val="000000"/>
          <w:spacing w:val="-6"/>
          <w:sz w:val="20"/>
          <w:szCs w:val="20"/>
        </w:rPr>
        <w:t xml:space="preserve">, os quais são </w:t>
      </w:r>
      <w:proofErr w:type="spellStart"/>
      <w:r w:rsidRPr="0061755D">
        <w:rPr>
          <w:color w:val="000000"/>
          <w:spacing w:val="-6"/>
          <w:sz w:val="20"/>
          <w:szCs w:val="20"/>
        </w:rPr>
        <w:t>psicoestimulantes</w:t>
      </w:r>
      <w:proofErr w:type="spellEnd"/>
      <w:r w:rsidRPr="0061755D">
        <w:rPr>
          <w:color w:val="000000"/>
          <w:spacing w:val="-6"/>
          <w:sz w:val="20"/>
          <w:szCs w:val="20"/>
        </w:rPr>
        <w:t xml:space="preserve"> (WOLRAICH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2019). Pertencem a lista A3 dessa legislação, ou seja, só podem ser comercializados com a apresentação da receita “A”, garantindo o controle sanitário.</w:t>
      </w:r>
    </w:p>
    <w:p w14:paraId="4B4E70F6"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A terapia farmacológica para o TDAH geralmente envolve o uso de estimulantes e não estimulantes. Os estimulantes, como metilfenidato e anfetaminas, são frequentemente prescritos como primeira linha de tratamento (CAMPOS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2025).</w:t>
      </w:r>
      <w:bookmarkStart w:id="7" w:name="_Hlk199524415"/>
    </w:p>
    <w:bookmarkEnd w:id="7"/>
    <w:p w14:paraId="1B50724C"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Cloridrato de Metilfenidato é comercializado no Brasil com a </w:t>
      </w:r>
      <w:proofErr w:type="spellStart"/>
      <w:r w:rsidRPr="0061755D">
        <w:rPr>
          <w:color w:val="000000"/>
          <w:spacing w:val="-6"/>
          <w:sz w:val="20"/>
          <w:szCs w:val="20"/>
        </w:rPr>
        <w:t>Ritalina</w:t>
      </w:r>
      <w:proofErr w:type="spellEnd"/>
      <w:r w:rsidRPr="0061755D">
        <w:rPr>
          <w:color w:val="000000"/>
          <w:spacing w:val="-6"/>
          <w:sz w:val="20"/>
          <w:szCs w:val="20"/>
        </w:rPr>
        <w:t xml:space="preserve">, atuando no aumento da atividade de catecolaminas no Sistema Nervoso Central (SNC), como também na liberação indireta de dopamina e noradrenalina nas fendas sinápticas. Auxiliam, assim, na melhora no foco e atenção, inibição das respostas aos estímulos que geram distração e cessação de pensamentos irrelevantes (MATTHIJSSEN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w:t>
      </w:r>
      <w:r w:rsidRPr="0061755D">
        <w:rPr>
          <w:color w:val="FF0000"/>
          <w:spacing w:val="-6"/>
          <w:sz w:val="20"/>
          <w:szCs w:val="20"/>
        </w:rPr>
        <w:t xml:space="preserve"> </w:t>
      </w:r>
      <w:r w:rsidRPr="0061755D">
        <w:rPr>
          <w:color w:val="000000"/>
          <w:spacing w:val="-6"/>
          <w:sz w:val="20"/>
          <w:szCs w:val="20"/>
        </w:rPr>
        <w:t>2019).</w:t>
      </w:r>
    </w:p>
    <w:p w14:paraId="783D9AC8"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lastRenderedPageBreak/>
        <w:t xml:space="preserve">O uso contínuo precisa ser observado e acompanhado, sobretudo pelos efeitos colaterais, tais como, problemas cardíacos, distúrbios psicóticos e óbito (RODRIGUES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2020). Contudo, os benefícios frente às reações adversas equivalem a uma taxa de 70% de eficácia, além de que o não uso de medicamentos pode acarretar problemas maiores ao longo da vida dos indivíduos (AZEVEDO, 2021).</w:t>
      </w:r>
      <w:r w:rsidRPr="0061755D">
        <w:rPr>
          <w:color w:val="FF0000"/>
          <w:spacing w:val="-6"/>
          <w:sz w:val="20"/>
          <w:szCs w:val="20"/>
        </w:rPr>
        <w:t xml:space="preserve"> </w:t>
      </w:r>
    </w:p>
    <w:p w14:paraId="6E67EE4E"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Outro medicamento amplamente utilizado é o </w:t>
      </w:r>
      <w:proofErr w:type="spellStart"/>
      <w:r w:rsidRPr="0061755D">
        <w:rPr>
          <w:color w:val="000000"/>
          <w:spacing w:val="-6"/>
          <w:sz w:val="20"/>
          <w:szCs w:val="20"/>
        </w:rPr>
        <w:t>Venvanse</w:t>
      </w:r>
      <w:proofErr w:type="spellEnd"/>
      <w:r w:rsidRPr="0061755D">
        <w:rPr>
          <w:color w:val="000000"/>
          <w:spacing w:val="-6"/>
          <w:sz w:val="20"/>
          <w:szCs w:val="20"/>
        </w:rPr>
        <w:t xml:space="preserve">, como é distribuído no Brasil, ou o </w:t>
      </w:r>
      <w:proofErr w:type="spellStart"/>
      <w:r w:rsidRPr="0061755D">
        <w:rPr>
          <w:color w:val="000000"/>
          <w:spacing w:val="-6"/>
          <w:sz w:val="20"/>
          <w:szCs w:val="20"/>
        </w:rPr>
        <w:t>Dimesilato</w:t>
      </w:r>
      <w:proofErr w:type="spellEnd"/>
      <w:r w:rsidRPr="0061755D">
        <w:rPr>
          <w:color w:val="000000"/>
          <w:spacing w:val="-6"/>
          <w:sz w:val="20"/>
          <w:szCs w:val="20"/>
        </w:rPr>
        <w:t xml:space="preserve"> de </w:t>
      </w:r>
      <w:proofErr w:type="spellStart"/>
      <w:r w:rsidRPr="0061755D">
        <w:rPr>
          <w:color w:val="000000"/>
          <w:spacing w:val="-6"/>
          <w:sz w:val="20"/>
          <w:szCs w:val="20"/>
        </w:rPr>
        <w:t>Lisdexanfetamina</w:t>
      </w:r>
      <w:proofErr w:type="spellEnd"/>
      <w:r w:rsidRPr="0061755D">
        <w:rPr>
          <w:color w:val="000000"/>
          <w:spacing w:val="-6"/>
          <w:sz w:val="20"/>
          <w:szCs w:val="20"/>
        </w:rPr>
        <w:t xml:space="preserve"> que atua no SNC bloqueando o processo de </w:t>
      </w:r>
      <w:proofErr w:type="spellStart"/>
      <w:r w:rsidRPr="0061755D">
        <w:rPr>
          <w:color w:val="000000"/>
          <w:spacing w:val="-6"/>
          <w:sz w:val="20"/>
          <w:szCs w:val="20"/>
        </w:rPr>
        <w:t>receptação</w:t>
      </w:r>
      <w:proofErr w:type="spellEnd"/>
      <w:r w:rsidRPr="0061755D">
        <w:rPr>
          <w:color w:val="000000"/>
          <w:spacing w:val="-6"/>
          <w:sz w:val="20"/>
          <w:szCs w:val="20"/>
        </w:rPr>
        <w:t xml:space="preserve"> da dopamina e promove o aumento de liberação de noradrenalina e dopamina (CORTESE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2018).</w:t>
      </w:r>
    </w:p>
    <w:p w14:paraId="242E05B9"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proofErr w:type="spellStart"/>
      <w:r w:rsidRPr="0061755D">
        <w:rPr>
          <w:color w:val="000000"/>
          <w:spacing w:val="-6"/>
          <w:sz w:val="20"/>
          <w:szCs w:val="20"/>
        </w:rPr>
        <w:t>Missawa</w:t>
      </w:r>
      <w:proofErr w:type="spellEnd"/>
      <w:r w:rsidRPr="0061755D">
        <w:rPr>
          <w:color w:val="000000"/>
          <w:spacing w:val="-6"/>
          <w:sz w:val="20"/>
          <w:szCs w:val="20"/>
        </w:rPr>
        <w:t xml:space="preserve"> e </w:t>
      </w:r>
      <w:proofErr w:type="spellStart"/>
      <w:r w:rsidRPr="0061755D">
        <w:rPr>
          <w:color w:val="000000"/>
          <w:spacing w:val="-6"/>
          <w:sz w:val="20"/>
          <w:szCs w:val="20"/>
        </w:rPr>
        <w:t>Rossetti</w:t>
      </w:r>
      <w:proofErr w:type="spellEnd"/>
      <w:r w:rsidRPr="0061755D">
        <w:rPr>
          <w:color w:val="000000"/>
          <w:spacing w:val="-6"/>
          <w:sz w:val="20"/>
          <w:szCs w:val="20"/>
        </w:rPr>
        <w:t xml:space="preserve"> (2014</w:t>
      </w:r>
      <w:r w:rsidRPr="0061755D">
        <w:rPr>
          <w:spacing w:val="-6"/>
          <w:sz w:val="20"/>
          <w:szCs w:val="20"/>
        </w:rPr>
        <w:t>)</w:t>
      </w:r>
      <w:r w:rsidRPr="0061755D">
        <w:rPr>
          <w:color w:val="FF0000"/>
          <w:spacing w:val="-6"/>
          <w:sz w:val="20"/>
          <w:szCs w:val="20"/>
        </w:rPr>
        <w:t xml:space="preserve"> </w:t>
      </w:r>
      <w:r w:rsidRPr="0061755D">
        <w:rPr>
          <w:color w:val="000000"/>
          <w:spacing w:val="-6"/>
          <w:sz w:val="20"/>
          <w:szCs w:val="20"/>
        </w:rPr>
        <w:t>discutem, todavia, que o tratamento não deve ser limitado ao uso de medicamentos, mas sim com a combinação de abordagens psicossociais e psicofarmacológicas. No estudo realizado por estes pesquisadores, os Psicólogos entrevistados afirmaram que utilizam como principais estratégias de tratamento: Programa de Enriquecimento Instrumental (PEI); Terapia Cognitiva Comportamental (TCC); Organização, Planejamento e Execução; Minimização de baixa autoestima e incentivo por meio de reforço; Estabelecimento de metas e prazos alcançáveis e uso de relógios e alarmes de forma sistemática (MISSAWA; ROSSETTI, 2014).</w:t>
      </w:r>
    </w:p>
    <w:p w14:paraId="149E4687"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principal auxílio oferecido pelo tratamento coadjuvante é o desenvolvimento de estratégias comportamentais que auxiliam na gestão do tempo organização e desenvolvimento de planos para lidar com desafios recorrentes específicos do TDAH (PANTOJA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xml:space="preserve">, 2024). Intervenções mais atuais também vêm sendo difundidas como treinamento cognitivo, </w:t>
      </w:r>
      <w:proofErr w:type="spellStart"/>
      <w:r w:rsidRPr="0061755D">
        <w:rPr>
          <w:color w:val="000000"/>
          <w:spacing w:val="-6"/>
          <w:sz w:val="20"/>
          <w:szCs w:val="20"/>
        </w:rPr>
        <w:t>neurofeedback</w:t>
      </w:r>
      <w:proofErr w:type="spellEnd"/>
      <w:r w:rsidRPr="0061755D">
        <w:rPr>
          <w:color w:val="000000"/>
          <w:spacing w:val="-6"/>
          <w:sz w:val="20"/>
          <w:szCs w:val="20"/>
        </w:rPr>
        <w:t xml:space="preserve"> e estimulação cerebral não invasiva, as quais atuam explorando a plasticidade cerebral modulando atividades em regiões específicas, promovendo mudanças neurobiológicas e não apenas agindo nos sintomas dos transtornos.</w:t>
      </w:r>
    </w:p>
    <w:p w14:paraId="170464FD"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bookmarkStart w:id="8" w:name="_javonq5nom9y" w:colFirst="0" w:colLast="0"/>
      <w:bookmarkEnd w:id="8"/>
      <w:r w:rsidRPr="0061755D">
        <w:rPr>
          <w:color w:val="000000"/>
          <w:spacing w:val="-6"/>
          <w:sz w:val="20"/>
          <w:szCs w:val="20"/>
        </w:rPr>
        <w:t>Importa ressaltar, entretanto, que a escolha do medicamento, a dosagem adequada e o tipo de terapia utilizada dependem das necessidades individuais e devem ser determinadas por um profissional de saúde qualificado. Além disso, o acompanhamento regular é essencial para monitorar os efeitos do tratamento e ajustá-lo conforme necessário.</w:t>
      </w:r>
    </w:p>
    <w:p w14:paraId="6DDF1FF1" w14:textId="268885EB" w:rsidR="007D1375" w:rsidRPr="0061755D" w:rsidRDefault="007D1375" w:rsidP="0061755D">
      <w:pPr>
        <w:pStyle w:val="Ttulo3"/>
        <w:spacing w:before="80" w:after="60"/>
        <w:ind w:right="142"/>
        <w:rPr>
          <w:rFonts w:ascii="Times New Roman" w:hAnsi="Times New Roman" w:cs="Times New Roman"/>
          <w:b/>
          <w:bCs/>
          <w:color w:val="000000" w:themeColor="text1"/>
          <w:spacing w:val="-6"/>
        </w:rPr>
      </w:pPr>
      <w:r w:rsidRPr="0061755D">
        <w:rPr>
          <w:rFonts w:ascii="Times New Roman" w:hAnsi="Times New Roman" w:cs="Times New Roman"/>
          <w:b/>
          <w:bCs/>
          <w:color w:val="000000" w:themeColor="text1"/>
          <w:spacing w:val="-6"/>
        </w:rPr>
        <w:t>BASES TERAPÊUTICAS (PSICOFARMACOLÓGICA E FARMACOLÓGICA):</w:t>
      </w:r>
      <w:r w:rsidR="0061755D">
        <w:rPr>
          <w:rFonts w:ascii="Times New Roman" w:hAnsi="Times New Roman" w:cs="Times New Roman"/>
          <w:b/>
          <w:bCs/>
          <w:color w:val="000000" w:themeColor="text1"/>
          <w:spacing w:val="-6"/>
        </w:rPr>
        <w:t xml:space="preserve"> </w:t>
      </w:r>
      <w:r w:rsidRPr="0061755D">
        <w:rPr>
          <w:rFonts w:ascii="Times New Roman" w:hAnsi="Times New Roman" w:cs="Times New Roman"/>
          <w:b/>
          <w:bCs/>
          <w:color w:val="000000" w:themeColor="text1"/>
          <w:spacing w:val="-6"/>
        </w:rPr>
        <w:t>THB</w:t>
      </w:r>
    </w:p>
    <w:p w14:paraId="643C6B0D"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Transtorno do Humor Bipolar (THB) é uma condição caracterizada por episódios alternados de mania e depressão. O tratamento do THB geralmente envolve uma combinação de terapia farmacológica e psicoterapia. Os estabilizadores de humor são frequentemente prescritos como tratamento de primeira linha para o THB. Medicamentos como o lítio, carbamazepina, </w:t>
      </w:r>
      <w:proofErr w:type="spellStart"/>
      <w:r w:rsidRPr="0061755D">
        <w:rPr>
          <w:color w:val="000000"/>
          <w:spacing w:val="-6"/>
          <w:sz w:val="20"/>
          <w:szCs w:val="20"/>
        </w:rPr>
        <w:t>valproato</w:t>
      </w:r>
      <w:proofErr w:type="spellEnd"/>
      <w:r w:rsidRPr="0061755D">
        <w:rPr>
          <w:color w:val="000000"/>
          <w:spacing w:val="-6"/>
          <w:sz w:val="20"/>
          <w:szCs w:val="20"/>
        </w:rPr>
        <w:t xml:space="preserve"> e </w:t>
      </w:r>
      <w:proofErr w:type="spellStart"/>
      <w:r w:rsidRPr="0061755D">
        <w:rPr>
          <w:color w:val="000000"/>
          <w:spacing w:val="-6"/>
          <w:sz w:val="20"/>
          <w:szCs w:val="20"/>
        </w:rPr>
        <w:t>lamotrigina</w:t>
      </w:r>
      <w:proofErr w:type="spellEnd"/>
      <w:r w:rsidRPr="0061755D">
        <w:rPr>
          <w:color w:val="000000"/>
          <w:spacing w:val="-6"/>
          <w:sz w:val="20"/>
          <w:szCs w:val="20"/>
        </w:rPr>
        <w:t xml:space="preserve"> ajudam a estabilizar os episódios de humor, reduzindo tanto a frequência quanto a intensidade dos episódios maníacos e depressivos (ALMEIDA; ROCHA</w:t>
      </w:r>
      <w:r w:rsidRPr="0061755D">
        <w:rPr>
          <w:spacing w:val="-6"/>
          <w:sz w:val="20"/>
          <w:szCs w:val="20"/>
        </w:rPr>
        <w:t>, 2022</w:t>
      </w:r>
      <w:r w:rsidRPr="0061755D">
        <w:rPr>
          <w:color w:val="000000"/>
          <w:spacing w:val="-6"/>
          <w:sz w:val="20"/>
          <w:szCs w:val="20"/>
        </w:rPr>
        <w:t>).</w:t>
      </w:r>
    </w:p>
    <w:p w14:paraId="7CE3B06E"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 Lítio é padrão ouro das terapias bipolares e amplamente utilizado, uma vez que manifesta uma eficácia robusta para todas as fases do tratamento do transtorno, pois além de ser estabilizador comumente utilizado para melhorar a fisiopatologia do TB, o lítio tem alguma atividade antidepressiva. </w:t>
      </w:r>
      <w:proofErr w:type="spellStart"/>
      <w:r w:rsidRPr="0061755D">
        <w:rPr>
          <w:color w:val="000000"/>
          <w:spacing w:val="-6"/>
          <w:sz w:val="20"/>
          <w:szCs w:val="20"/>
        </w:rPr>
        <w:t>Acretida-se</w:t>
      </w:r>
      <w:proofErr w:type="spellEnd"/>
      <w:r w:rsidRPr="0061755D">
        <w:rPr>
          <w:color w:val="000000"/>
          <w:spacing w:val="-6"/>
          <w:sz w:val="20"/>
          <w:szCs w:val="20"/>
        </w:rPr>
        <w:t xml:space="preserve"> que os efeitos terapêuticos do lítio estejam parcialmente ligados às suas capacidades antioxidantes (MADIREDDY; MADIREDDY, 2022; FOUNTOULAKIS; </w:t>
      </w:r>
      <w:r w:rsidRPr="0061755D">
        <w:rPr>
          <w:spacing w:val="-6"/>
          <w:sz w:val="20"/>
          <w:szCs w:val="20"/>
          <w:lang w:val="pt-BR"/>
        </w:rPr>
        <w:t>TOHEN; ZARATE</w:t>
      </w:r>
      <w:r w:rsidRPr="0061755D">
        <w:rPr>
          <w:color w:val="000000"/>
          <w:spacing w:val="-6"/>
          <w:sz w:val="20"/>
          <w:szCs w:val="20"/>
        </w:rPr>
        <w:t>, 2022).</w:t>
      </w:r>
    </w:p>
    <w:p w14:paraId="45F45C94"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Há uma crescente compreensão de que a farmacoterapia isolada não pode prevenir recidivas do transtorno bipolar ou aliviar completamente os sintomas pós-episódio ou o comprometimento </w:t>
      </w:r>
      <w:r w:rsidRPr="0061755D">
        <w:rPr>
          <w:color w:val="000000"/>
          <w:spacing w:val="-6"/>
          <w:sz w:val="20"/>
          <w:szCs w:val="20"/>
        </w:rPr>
        <w:t>funcional. A psicoterapia, quando aplicada, é considerada um tratamento complementar.</w:t>
      </w:r>
    </w:p>
    <w:p w14:paraId="4A9073E7"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Evidências de ensaios clínicos randomizados sugerem que a combinação de farmacoterapia com diferentes abordagens de psicoterapia - incluindo Terapia Cognitivo- Comportamental (TCC), Terapia Familiar, Terapia de Ritmo Interpessoal e Social (IPSRT) e </w:t>
      </w:r>
      <w:proofErr w:type="spellStart"/>
      <w:r w:rsidRPr="0061755D">
        <w:rPr>
          <w:color w:val="000000"/>
          <w:spacing w:val="-6"/>
          <w:sz w:val="20"/>
          <w:szCs w:val="20"/>
        </w:rPr>
        <w:t>Psicoeducação</w:t>
      </w:r>
      <w:proofErr w:type="spellEnd"/>
      <w:r w:rsidRPr="0061755D">
        <w:rPr>
          <w:color w:val="000000"/>
          <w:spacing w:val="-6"/>
          <w:sz w:val="20"/>
          <w:szCs w:val="20"/>
        </w:rPr>
        <w:t xml:space="preserve"> em grupo - é mais eficaz do que a farmacoterapia sozinha na estabilização dos sintomas e na redução de recidivas em pacientes ambulatoriais com transtorno bipolar (MIKLOWITZ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2021).</w:t>
      </w:r>
    </w:p>
    <w:p w14:paraId="22BB5277"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Comumente, intervenções psicossociais tem como objetivo: elaborar os significados e crenças dos pacientes e/ou familiares em relação ao tratamento; resolver problemas; empoderar o paciente no processo de cuidado; ajudar os pacientes a identificarem e controlarem os sintomas; desenvolver estratégias de enfrentamento em relação a situações estressantes; estimular o suporte familiar e reduzir traumas e estigmas relacionados ao TB (LORETTU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2020).</w:t>
      </w:r>
    </w:p>
    <w:p w14:paraId="07576824"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Ademais, suporte social depende, ainda da presença de cônjuge, composição familiar, existência de algum confidente e engajamento em atividades sociais, esquecendo-se da esfera relacional de como esses atores envolvidos ofertam o cuidado (ENES </w:t>
      </w:r>
      <w:proofErr w:type="spellStart"/>
      <w:r w:rsidRPr="0061755D">
        <w:rPr>
          <w:i/>
          <w:iCs/>
          <w:color w:val="000000"/>
          <w:spacing w:val="-6"/>
          <w:sz w:val="20"/>
          <w:szCs w:val="20"/>
        </w:rPr>
        <w:t>et</w:t>
      </w:r>
      <w:proofErr w:type="spellEnd"/>
      <w:r w:rsidRPr="0061755D">
        <w:rPr>
          <w:i/>
          <w:iCs/>
          <w:color w:val="000000"/>
          <w:spacing w:val="-6"/>
          <w:sz w:val="20"/>
          <w:szCs w:val="20"/>
        </w:rPr>
        <w:t xml:space="preserve"> al.</w:t>
      </w:r>
      <w:r w:rsidRPr="0061755D">
        <w:rPr>
          <w:color w:val="000000"/>
          <w:spacing w:val="-6"/>
          <w:sz w:val="20"/>
          <w:szCs w:val="20"/>
        </w:rPr>
        <w:t>, 2020).</w:t>
      </w:r>
    </w:p>
    <w:p w14:paraId="3F42D670"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Outro desafio enfrentado no manejo do paciente bipolar é a </w:t>
      </w:r>
      <w:proofErr w:type="spellStart"/>
      <w:r w:rsidRPr="0061755D">
        <w:rPr>
          <w:color w:val="000000"/>
          <w:spacing w:val="-6"/>
          <w:sz w:val="20"/>
          <w:szCs w:val="20"/>
        </w:rPr>
        <w:t>refratariedade</w:t>
      </w:r>
      <w:proofErr w:type="spellEnd"/>
      <w:r w:rsidRPr="0061755D">
        <w:rPr>
          <w:color w:val="000000"/>
          <w:spacing w:val="-6"/>
          <w:sz w:val="20"/>
          <w:szCs w:val="20"/>
        </w:rPr>
        <w:t xml:space="preserve"> ao tratamento farmacológico. Nesses casos, se torna viável o tratamento de resgate para evitar consequências adversas, sendo a hospitalização frequentemente necessária. Diversos tratamentos são classificados como de primeira, segunda e terceira linha ou não recomendado, e, como aliado terapêutico, a construção da árvore de decisões se faz pertinente (</w:t>
      </w:r>
      <w:r w:rsidRPr="0061755D">
        <w:rPr>
          <w:spacing w:val="-6"/>
          <w:sz w:val="20"/>
          <w:szCs w:val="20"/>
        </w:rPr>
        <w:t>BARION; JESUS</w:t>
      </w:r>
      <w:r w:rsidRPr="0061755D">
        <w:rPr>
          <w:color w:val="000000"/>
          <w:spacing w:val="-6"/>
          <w:sz w:val="20"/>
          <w:szCs w:val="20"/>
        </w:rPr>
        <w:t>, 20</w:t>
      </w:r>
      <w:r w:rsidRPr="0061755D">
        <w:rPr>
          <w:spacing w:val="-6"/>
          <w:sz w:val="20"/>
          <w:szCs w:val="20"/>
        </w:rPr>
        <w:t>23</w:t>
      </w:r>
      <w:r w:rsidRPr="0061755D">
        <w:rPr>
          <w:color w:val="000000"/>
          <w:spacing w:val="-6"/>
          <w:sz w:val="20"/>
          <w:szCs w:val="20"/>
        </w:rPr>
        <w:t>).</w:t>
      </w:r>
    </w:p>
    <w:p w14:paraId="02296AB9"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O tratamento do THB deve ser individualizado e adaptado às necessidades específicas de cada paciente. Uma abordagem multidisciplinar, envolvendo médicos, psiquiatras, psicólogos e outros profissionais de saúde, é frequentemente necessária para um manejo eficaz dessa condição complexa. O acompanhamento regular com um profissional de saúde mental é crucial para monitorar a eficácia do tratamento, ajustar a medicação conforme necessário e fornecer apoio psicológico contínuo.</w:t>
      </w:r>
    </w:p>
    <w:p w14:paraId="51B64300" w14:textId="77777777" w:rsidR="007D1375" w:rsidRPr="0061755D" w:rsidRDefault="007D1375" w:rsidP="0061755D">
      <w:pPr>
        <w:pStyle w:val="Ttulo1"/>
        <w:spacing w:before="80" w:after="60"/>
        <w:ind w:left="0" w:right="142"/>
        <w:rPr>
          <w:spacing w:val="-6"/>
        </w:rPr>
      </w:pPr>
      <w:bookmarkStart w:id="9" w:name="_smh5v8nx97h2" w:colFirst="0" w:colLast="0"/>
      <w:bookmarkStart w:id="10" w:name="_nrb1kgngx2f0" w:colFirst="0" w:colLast="0"/>
      <w:bookmarkEnd w:id="9"/>
      <w:bookmarkEnd w:id="10"/>
      <w:r w:rsidRPr="0061755D">
        <w:rPr>
          <w:spacing w:val="-6"/>
        </w:rPr>
        <w:t>DISCUSSÃO</w:t>
      </w:r>
    </w:p>
    <w:p w14:paraId="0F36F462"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spacing w:val="-6"/>
          <w:sz w:val="20"/>
          <w:szCs w:val="20"/>
        </w:rPr>
        <w:t xml:space="preserve">Os resultados desta pesquisa demonstram a complexidade </w:t>
      </w:r>
      <w:r w:rsidRPr="0061755D">
        <w:rPr>
          <w:color w:val="000000"/>
          <w:spacing w:val="-6"/>
          <w:sz w:val="20"/>
          <w:szCs w:val="20"/>
        </w:rPr>
        <w:t xml:space="preserve">neurobiológica associada ao Transtorno de Déficit de Atenção e Hiperatividade (TDAH) e ao Transtorno Afetivo Bipolar (TAB). Os estudos analisados destacam que o TDAH está relacionado a disfunções nos sistemas dopaminérgico e </w:t>
      </w:r>
      <w:proofErr w:type="spellStart"/>
      <w:r w:rsidRPr="0061755D">
        <w:rPr>
          <w:color w:val="000000"/>
          <w:spacing w:val="-6"/>
          <w:sz w:val="20"/>
          <w:szCs w:val="20"/>
        </w:rPr>
        <w:t>noradrenérgico</w:t>
      </w:r>
      <w:proofErr w:type="spellEnd"/>
      <w:r w:rsidRPr="0061755D">
        <w:rPr>
          <w:color w:val="000000"/>
          <w:spacing w:val="-6"/>
          <w:sz w:val="20"/>
          <w:szCs w:val="20"/>
        </w:rPr>
        <w:t xml:space="preserve">, com alterações em áreas cerebrais como o córtex pré-frontal e os gânglios da base. A redução do volume cortical e a diminuição da atividade dopaminérgica nessas regiões comprometem funções executivas, controle inibitório e regulação emocional. </w:t>
      </w:r>
    </w:p>
    <w:p w14:paraId="4A4A1C82"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Para mais, o envolvimento genético foi identificado como um fator significativo, com polimorfismos em genes associados à </w:t>
      </w:r>
      <w:proofErr w:type="spellStart"/>
      <w:r w:rsidRPr="0061755D">
        <w:rPr>
          <w:color w:val="000000"/>
          <w:spacing w:val="-6"/>
          <w:sz w:val="20"/>
          <w:szCs w:val="20"/>
        </w:rPr>
        <w:t>neurotransmissão</w:t>
      </w:r>
      <w:proofErr w:type="spellEnd"/>
      <w:r w:rsidRPr="0061755D">
        <w:rPr>
          <w:color w:val="000000"/>
          <w:spacing w:val="-6"/>
          <w:sz w:val="20"/>
          <w:szCs w:val="20"/>
        </w:rPr>
        <w:t xml:space="preserve">, como o gene DAT1, contribuindo para a manifestação dos sintomas. No contexto do TAB, os achados apontam para uma desregulação nos sistemas </w:t>
      </w:r>
      <w:proofErr w:type="spellStart"/>
      <w:r w:rsidRPr="0061755D">
        <w:rPr>
          <w:color w:val="000000"/>
          <w:spacing w:val="-6"/>
          <w:sz w:val="20"/>
          <w:szCs w:val="20"/>
        </w:rPr>
        <w:t>monoaminérgicos</w:t>
      </w:r>
      <w:proofErr w:type="spellEnd"/>
      <w:r w:rsidRPr="0061755D">
        <w:rPr>
          <w:color w:val="000000"/>
          <w:spacing w:val="-6"/>
          <w:sz w:val="20"/>
          <w:szCs w:val="20"/>
        </w:rPr>
        <w:t xml:space="preserve">, especialmente nas vias de dopamina, noradrenalina e serotonina. Durante episódios maníacos, observa-se um aumento da atividade dopaminérgica, enquanto na depressão ocorre uma redução da atividade </w:t>
      </w:r>
      <w:proofErr w:type="spellStart"/>
      <w:r w:rsidRPr="0061755D">
        <w:rPr>
          <w:color w:val="000000"/>
          <w:spacing w:val="-6"/>
          <w:sz w:val="20"/>
          <w:szCs w:val="20"/>
        </w:rPr>
        <w:t>serotonérgica</w:t>
      </w:r>
      <w:proofErr w:type="spellEnd"/>
      <w:r w:rsidRPr="0061755D">
        <w:rPr>
          <w:color w:val="000000"/>
          <w:spacing w:val="-6"/>
          <w:sz w:val="20"/>
          <w:szCs w:val="20"/>
        </w:rPr>
        <w:t xml:space="preserve">. </w:t>
      </w:r>
    </w:p>
    <w:p w14:paraId="183476F4"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A neuroimagem funcional revela hiperatividade na amígdala e </w:t>
      </w:r>
      <w:proofErr w:type="spellStart"/>
      <w:r w:rsidRPr="0061755D">
        <w:rPr>
          <w:color w:val="000000"/>
          <w:spacing w:val="-6"/>
          <w:sz w:val="20"/>
          <w:szCs w:val="20"/>
        </w:rPr>
        <w:t>hipofunção</w:t>
      </w:r>
      <w:proofErr w:type="spellEnd"/>
      <w:r w:rsidRPr="0061755D">
        <w:rPr>
          <w:color w:val="000000"/>
          <w:spacing w:val="-6"/>
          <w:sz w:val="20"/>
          <w:szCs w:val="20"/>
        </w:rPr>
        <w:t xml:space="preserve"> no córtex pré-frontal ventral, sugerindo um comprometimento na regulação emocional. Além disso, estudos genéticos indicam variantes associadas ao processamento do estresse e à </w:t>
      </w:r>
      <w:proofErr w:type="spellStart"/>
      <w:r w:rsidRPr="0061755D">
        <w:rPr>
          <w:color w:val="000000"/>
          <w:spacing w:val="-6"/>
          <w:sz w:val="20"/>
          <w:szCs w:val="20"/>
        </w:rPr>
        <w:t>neuroplasticidade</w:t>
      </w:r>
      <w:proofErr w:type="spellEnd"/>
      <w:r w:rsidRPr="0061755D">
        <w:rPr>
          <w:color w:val="000000"/>
          <w:spacing w:val="-6"/>
          <w:sz w:val="20"/>
          <w:szCs w:val="20"/>
        </w:rPr>
        <w:t xml:space="preserve">, destacando a relevância da </w:t>
      </w:r>
      <w:r w:rsidRPr="0061755D">
        <w:rPr>
          <w:color w:val="000000"/>
          <w:spacing w:val="-6"/>
          <w:sz w:val="20"/>
          <w:szCs w:val="20"/>
        </w:rPr>
        <w:lastRenderedPageBreak/>
        <w:t xml:space="preserve">interação entre fatores genéticos e ambientais na fisiopatologia do TAB. Em termos de implicações terapêuticas, as intervenções farmacológicas para o TDAH incluem predominantemente </w:t>
      </w:r>
      <w:proofErr w:type="spellStart"/>
      <w:r w:rsidRPr="0061755D">
        <w:rPr>
          <w:color w:val="000000"/>
          <w:spacing w:val="-6"/>
          <w:sz w:val="20"/>
          <w:szCs w:val="20"/>
        </w:rPr>
        <w:t>psicoestimulantes</w:t>
      </w:r>
      <w:proofErr w:type="spellEnd"/>
      <w:r w:rsidRPr="0061755D">
        <w:rPr>
          <w:color w:val="000000"/>
          <w:spacing w:val="-6"/>
          <w:sz w:val="20"/>
          <w:szCs w:val="20"/>
        </w:rPr>
        <w:t xml:space="preserve"> como o metilfenidato e a </w:t>
      </w:r>
      <w:proofErr w:type="spellStart"/>
      <w:r w:rsidRPr="0061755D">
        <w:rPr>
          <w:color w:val="000000"/>
          <w:spacing w:val="-6"/>
          <w:sz w:val="20"/>
          <w:szCs w:val="20"/>
        </w:rPr>
        <w:t>lisdexanfetamina</w:t>
      </w:r>
      <w:proofErr w:type="spellEnd"/>
      <w:r w:rsidRPr="0061755D">
        <w:rPr>
          <w:color w:val="000000"/>
          <w:spacing w:val="-6"/>
          <w:sz w:val="20"/>
          <w:szCs w:val="20"/>
        </w:rPr>
        <w:t xml:space="preserve">, que atuam na modulação dos sistemas dopaminérgico e </w:t>
      </w:r>
      <w:proofErr w:type="spellStart"/>
      <w:r w:rsidRPr="0061755D">
        <w:rPr>
          <w:color w:val="000000"/>
          <w:spacing w:val="-6"/>
          <w:sz w:val="20"/>
          <w:szCs w:val="20"/>
        </w:rPr>
        <w:t>noradrenérgico</w:t>
      </w:r>
      <w:proofErr w:type="spellEnd"/>
      <w:r w:rsidRPr="0061755D">
        <w:rPr>
          <w:color w:val="000000"/>
          <w:spacing w:val="-6"/>
          <w:sz w:val="20"/>
          <w:szCs w:val="20"/>
        </w:rPr>
        <w:t xml:space="preserve">. Os efeitos terapêuticos desses medicamentos estão diretamente relacionados à melhora da atenção, redução da impulsividade e controle da hiperatividade. Para o TAB, o lítio permanece como o estabilizador de humor de primeira linha, devido à sua eficácia na prevenção de episódios maníacos e depressivos. </w:t>
      </w:r>
    </w:p>
    <w:p w14:paraId="2FC42C4F"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 xml:space="preserve">Outrossim, anticonvulsivantes como a </w:t>
      </w:r>
      <w:proofErr w:type="spellStart"/>
      <w:r w:rsidRPr="0061755D">
        <w:rPr>
          <w:color w:val="000000"/>
          <w:spacing w:val="-6"/>
          <w:sz w:val="20"/>
          <w:szCs w:val="20"/>
        </w:rPr>
        <w:t>lamotrigina</w:t>
      </w:r>
      <w:proofErr w:type="spellEnd"/>
      <w:r w:rsidRPr="0061755D">
        <w:rPr>
          <w:color w:val="000000"/>
          <w:spacing w:val="-6"/>
          <w:sz w:val="20"/>
          <w:szCs w:val="20"/>
        </w:rPr>
        <w:t xml:space="preserve"> e o </w:t>
      </w:r>
      <w:proofErr w:type="spellStart"/>
      <w:r w:rsidRPr="0061755D">
        <w:rPr>
          <w:color w:val="000000"/>
          <w:spacing w:val="-6"/>
          <w:sz w:val="20"/>
          <w:szCs w:val="20"/>
        </w:rPr>
        <w:t>valproato</w:t>
      </w:r>
      <w:proofErr w:type="spellEnd"/>
      <w:r w:rsidRPr="0061755D">
        <w:rPr>
          <w:color w:val="000000"/>
          <w:spacing w:val="-6"/>
          <w:sz w:val="20"/>
          <w:szCs w:val="20"/>
        </w:rPr>
        <w:t xml:space="preserve">, bem como antipsicóticos atípicos, também são amplamente utilizados. Intervenções psicoterapêuticas, como a Terapia Cognitivo-Comportamental (TCC) e a Terapia de Ritmo Interpessoal e Social (IPSRT), mostraram-se eficazes como coadjuvantes no manejo dos sintomas, proporcionando suporte emocional, adesão ao tratamento e prevenção de recaídas. A análise dos resultados reforça a necessidade de abordagens terapêuticas personalizadas, considerando as particularidades neurobiológicas de cada transtorno e a heterogeneidade das respostas ao tratamento. </w:t>
      </w:r>
    </w:p>
    <w:p w14:paraId="43CDBD8F" w14:textId="77777777" w:rsidR="007D1375" w:rsidRPr="0061755D" w:rsidRDefault="007D1375" w:rsidP="0061755D">
      <w:pPr>
        <w:pStyle w:val="Ttulo1"/>
        <w:spacing w:before="0" w:after="60"/>
        <w:ind w:left="0" w:right="142"/>
        <w:rPr>
          <w:spacing w:val="-6"/>
        </w:rPr>
      </w:pPr>
      <w:r w:rsidRPr="0061755D">
        <w:rPr>
          <w:spacing w:val="-6"/>
        </w:rPr>
        <w:t>CONSIDERAÇÕES FINAIS</w:t>
      </w:r>
    </w:p>
    <w:p w14:paraId="3160A560" w14:textId="77777777" w:rsidR="007D1375" w:rsidRPr="0061755D" w:rsidRDefault="007D1375" w:rsidP="0061755D">
      <w:pPr>
        <w:pBdr>
          <w:top w:val="nil"/>
          <w:left w:val="nil"/>
          <w:bottom w:val="nil"/>
          <w:right w:val="nil"/>
          <w:between w:val="nil"/>
        </w:pBdr>
        <w:spacing w:before="80" w:after="60"/>
        <w:ind w:right="142"/>
        <w:jc w:val="both"/>
        <w:rPr>
          <w:spacing w:val="-6"/>
          <w:sz w:val="20"/>
          <w:szCs w:val="20"/>
        </w:rPr>
      </w:pPr>
      <w:r w:rsidRPr="0061755D">
        <w:rPr>
          <w:spacing w:val="-6"/>
          <w:sz w:val="20"/>
          <w:szCs w:val="20"/>
        </w:rPr>
        <w:t xml:space="preserve">Esta pesquisa evidencia a complexidade neurobiológica do Transtorno de Déficit de Atenção e Hiperatividade (TDAH) e do Transtorno Afetivo Bipolar (TAB), destacando disfunções em sistemas neurotransmissores, alterações anatômicas cerebrais e a interação entre fatores genéticos e ambientais. A análise reforça que o TDAH está associado a déficits dopaminérgicos e </w:t>
      </w:r>
      <w:proofErr w:type="spellStart"/>
      <w:r w:rsidRPr="0061755D">
        <w:rPr>
          <w:spacing w:val="-6"/>
          <w:sz w:val="20"/>
          <w:szCs w:val="20"/>
        </w:rPr>
        <w:t>noradrenérgicos</w:t>
      </w:r>
      <w:proofErr w:type="spellEnd"/>
      <w:r w:rsidRPr="0061755D">
        <w:rPr>
          <w:spacing w:val="-6"/>
          <w:sz w:val="20"/>
          <w:szCs w:val="20"/>
        </w:rPr>
        <w:t xml:space="preserve">, com impacto no córtex pré-frontal, enquanto o TAB apresenta desregulação </w:t>
      </w:r>
      <w:proofErr w:type="spellStart"/>
      <w:r w:rsidRPr="0061755D">
        <w:rPr>
          <w:spacing w:val="-6"/>
          <w:sz w:val="20"/>
          <w:szCs w:val="20"/>
        </w:rPr>
        <w:t>monoaminérgica</w:t>
      </w:r>
      <w:proofErr w:type="spellEnd"/>
      <w:r w:rsidRPr="0061755D">
        <w:rPr>
          <w:spacing w:val="-6"/>
          <w:sz w:val="20"/>
          <w:szCs w:val="20"/>
        </w:rPr>
        <w:t xml:space="preserve">, afetando regiões como a amígdala e o córtex pré-frontal ventral. Esses achados sustentam a eficácia de abordagens terapêuticas personalizadas, combinando intervenções farmacológicas, como </w:t>
      </w:r>
      <w:proofErr w:type="spellStart"/>
      <w:r w:rsidRPr="0061755D">
        <w:rPr>
          <w:spacing w:val="-6"/>
          <w:sz w:val="20"/>
          <w:szCs w:val="20"/>
        </w:rPr>
        <w:t>psicoestimulantes</w:t>
      </w:r>
      <w:proofErr w:type="spellEnd"/>
      <w:r w:rsidRPr="0061755D">
        <w:rPr>
          <w:spacing w:val="-6"/>
          <w:sz w:val="20"/>
          <w:szCs w:val="20"/>
        </w:rPr>
        <w:t xml:space="preserve"> para o TDAH e estabilizadores de humor para o TAB, com psicoterapias, como a Terapia Cognitivo-Comportamental e a Terapia de Ritmo Interpessoal e Social. </w:t>
      </w:r>
    </w:p>
    <w:p w14:paraId="63B51E0D" w14:textId="77777777" w:rsidR="007D1375" w:rsidRPr="0061755D" w:rsidRDefault="007D1375" w:rsidP="0061755D">
      <w:pPr>
        <w:pBdr>
          <w:top w:val="nil"/>
          <w:left w:val="nil"/>
          <w:bottom w:val="nil"/>
          <w:right w:val="nil"/>
          <w:between w:val="nil"/>
        </w:pBdr>
        <w:spacing w:after="60"/>
        <w:ind w:right="142"/>
        <w:jc w:val="both"/>
        <w:rPr>
          <w:color w:val="000000"/>
          <w:spacing w:val="-6"/>
          <w:sz w:val="20"/>
          <w:szCs w:val="20"/>
        </w:rPr>
      </w:pPr>
      <w:r w:rsidRPr="0061755D">
        <w:rPr>
          <w:color w:val="000000"/>
          <w:spacing w:val="-6"/>
          <w:sz w:val="20"/>
          <w:szCs w:val="20"/>
        </w:rPr>
        <w:t>A heterogeneidade clínica e neurobiológica desses transtornos demanda estratégias individualizadas, considerando as particularidades de cada paciente. Além disso, a pesquisa aponta para a necessidade de maior conscientização social e redução do estigma associado a esses transtornos, promovendo diagnósticos precoces e acesso a tratamentos adequados. Estudos futuros devem integrar abordagens neurocientíficas, genéticas e clínicas para aprofundar a compreensão desses mecanismos e desenvolver intervenções mais eficazes, contribuindo para a melhoria da qualidade de vida dos indivíduos afetados e para a formulação de políticas públicas em saúde mental.</w:t>
      </w:r>
    </w:p>
    <w:p w14:paraId="069E4E7E" w14:textId="77777777" w:rsidR="00FE7FC4" w:rsidRPr="00FE7FC4" w:rsidRDefault="00FE7FC4" w:rsidP="00FE7FC4">
      <w:pPr>
        <w:pStyle w:val="Ttulo1"/>
        <w:spacing w:before="0" w:after="60"/>
        <w:ind w:left="0"/>
        <w:rPr>
          <w:spacing w:val="-6"/>
          <w:lang w:val="en-US"/>
        </w:rPr>
      </w:pPr>
      <w:r w:rsidRPr="00FE7FC4">
        <w:rPr>
          <w:spacing w:val="-6"/>
          <w:lang w:val="en-US"/>
        </w:rPr>
        <w:t>REFÊRENCIAS</w:t>
      </w:r>
    </w:p>
    <w:p w14:paraId="69F92322" w14:textId="5686E05C" w:rsidR="00FE7FC4" w:rsidRPr="00FE7FC4" w:rsidRDefault="00FE7FC4" w:rsidP="00C82947">
      <w:pPr>
        <w:spacing w:after="60"/>
        <w:ind w:left="284" w:right="40" w:hanging="284"/>
        <w:rPr>
          <w:spacing w:val="-6"/>
          <w:sz w:val="19"/>
          <w:szCs w:val="19"/>
          <w:lang w:val="en-US"/>
        </w:rPr>
      </w:pPr>
      <w:r w:rsidRPr="00FE7FC4">
        <w:rPr>
          <w:spacing w:val="-6"/>
          <w:sz w:val="19"/>
          <w:szCs w:val="19"/>
          <w:lang w:val="en-US"/>
        </w:rPr>
        <w:t>ABDELNOUR, E.; JANSEN, M. O.; GOLD, J</w:t>
      </w:r>
      <w:proofErr w:type="gramStart"/>
      <w:r w:rsidRPr="00FE7FC4">
        <w:rPr>
          <w:spacing w:val="-6"/>
          <w:sz w:val="19"/>
          <w:szCs w:val="19"/>
          <w:lang w:val="en-US"/>
        </w:rPr>
        <w:t>. A</w:t>
      </w:r>
      <w:proofErr w:type="gramEnd"/>
      <w:r w:rsidRPr="00FE7FC4">
        <w:rPr>
          <w:spacing w:val="-6"/>
          <w:sz w:val="19"/>
          <w:szCs w:val="19"/>
          <w:lang w:val="en-US"/>
        </w:rPr>
        <w:t xml:space="preserve">. ADHD diagnostic trends: increased recognition or overdiagnosis? </w:t>
      </w:r>
      <w:r w:rsidRPr="00FE7FC4">
        <w:rPr>
          <w:spacing w:val="-6"/>
          <w:sz w:val="19"/>
          <w:szCs w:val="19"/>
        </w:rPr>
        <w:t>Missouri Medicine, v. 119, n. 5, p.</w:t>
      </w:r>
      <w:r w:rsidR="00632825">
        <w:rPr>
          <w:spacing w:val="-6"/>
          <w:sz w:val="19"/>
          <w:szCs w:val="19"/>
        </w:rPr>
        <w:t xml:space="preserve"> </w:t>
      </w:r>
      <w:r w:rsidRPr="00FE7FC4">
        <w:rPr>
          <w:spacing w:val="-6"/>
          <w:sz w:val="19"/>
          <w:szCs w:val="19"/>
        </w:rPr>
        <w:t xml:space="preserve">467, 2022. Disponível em: https://www.ncbi.nlm.nih.gov/pmc/articles/PMC9481960/.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15 </w:t>
      </w:r>
      <w:proofErr w:type="spellStart"/>
      <w:r w:rsidRPr="00FE7FC4">
        <w:rPr>
          <w:spacing w:val="-6"/>
          <w:sz w:val="19"/>
          <w:szCs w:val="19"/>
          <w:lang w:val="en-US"/>
        </w:rPr>
        <w:t>mai</w:t>
      </w:r>
      <w:proofErr w:type="spellEnd"/>
      <w:r w:rsidRPr="00FE7FC4">
        <w:rPr>
          <w:spacing w:val="-6"/>
          <w:sz w:val="19"/>
          <w:szCs w:val="19"/>
          <w:lang w:val="en-US"/>
        </w:rPr>
        <w:t>. 2025.</w:t>
      </w:r>
    </w:p>
    <w:p w14:paraId="60CC825B" w14:textId="4604DFC7" w:rsidR="00FE7FC4" w:rsidRPr="00FE7FC4" w:rsidRDefault="00FE7FC4" w:rsidP="00C82947">
      <w:pPr>
        <w:spacing w:after="60"/>
        <w:ind w:left="284" w:right="40" w:hanging="284"/>
        <w:rPr>
          <w:spacing w:val="-6"/>
          <w:sz w:val="19"/>
          <w:szCs w:val="19"/>
        </w:rPr>
      </w:pPr>
      <w:r w:rsidRPr="00FE7FC4">
        <w:rPr>
          <w:spacing w:val="-6"/>
          <w:sz w:val="19"/>
          <w:szCs w:val="19"/>
          <w:lang w:val="en-US"/>
        </w:rPr>
        <w:t xml:space="preserve">AL JOWF, Ghazi I.; AHMED, Ziyad T.; AN, Ning; REIJNDERS, Rick A.; AMBROSINO, Elena; RUTTEN, Bart P. F.; DE NIJS, Laurence; EIJSSEN, Lars M. T. A public health perspective of post-traumatic stress disorder. International journal of environmental research and public health, v. 19, n. 11, p. 6474, 2022. </w:t>
      </w:r>
      <w:r w:rsidRPr="00FE7FC4">
        <w:rPr>
          <w:spacing w:val="-6"/>
          <w:sz w:val="19"/>
          <w:szCs w:val="19"/>
        </w:rPr>
        <w:t xml:space="preserve">Disponível em: </w:t>
      </w:r>
      <w:r w:rsidR="001D07EB" w:rsidRPr="002F73BA">
        <w:rPr>
          <w:spacing w:val="-6"/>
          <w:sz w:val="19"/>
          <w:szCs w:val="19"/>
          <w:lang w:val="pt-BR"/>
        </w:rPr>
        <w:t>https://doi.org/</w:t>
      </w:r>
      <w:r w:rsidRPr="00FE7FC4">
        <w:rPr>
          <w:spacing w:val="-6"/>
          <w:sz w:val="19"/>
          <w:szCs w:val="19"/>
        </w:rPr>
        <w:t>10.3390/ijerph19116474. Acesso em: 17 mai. 2025.</w:t>
      </w:r>
    </w:p>
    <w:p w14:paraId="5CC2673A" w14:textId="77777777" w:rsidR="00FE7FC4" w:rsidRPr="00FE7FC4" w:rsidRDefault="00FE7FC4" w:rsidP="00C82947">
      <w:pPr>
        <w:spacing w:after="60"/>
        <w:ind w:left="284" w:right="40" w:hanging="284"/>
        <w:rPr>
          <w:spacing w:val="-6"/>
          <w:sz w:val="19"/>
          <w:szCs w:val="19"/>
          <w:lang w:val="en-US"/>
        </w:rPr>
      </w:pPr>
      <w:r w:rsidRPr="00FE7FC4">
        <w:rPr>
          <w:spacing w:val="-6"/>
          <w:sz w:val="19"/>
          <w:szCs w:val="19"/>
        </w:rPr>
        <w:t xml:space="preserve">ALMEIDA, D. F.; ROCHA, E. Intervenções de enfermagem a pacientes pediátricos portadores do transtorno de humor bipolar. </w:t>
      </w:r>
      <w:r w:rsidRPr="00FE7FC4">
        <w:rPr>
          <w:spacing w:val="-6"/>
          <w:sz w:val="19"/>
          <w:szCs w:val="19"/>
        </w:rPr>
        <w:t xml:space="preserve">REAL – Repositório Institucional, v. 1, n. 1, 2022. Disponível em: https://realacademico.com.br/revista/index.php/real/article/view/1213.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15 </w:t>
      </w:r>
      <w:proofErr w:type="spellStart"/>
      <w:r w:rsidRPr="00FE7FC4">
        <w:rPr>
          <w:spacing w:val="-6"/>
          <w:sz w:val="19"/>
          <w:szCs w:val="19"/>
          <w:lang w:val="en-US"/>
        </w:rPr>
        <w:t>mai</w:t>
      </w:r>
      <w:proofErr w:type="spellEnd"/>
      <w:r w:rsidRPr="00FE7FC4">
        <w:rPr>
          <w:spacing w:val="-6"/>
          <w:sz w:val="19"/>
          <w:szCs w:val="19"/>
          <w:lang w:val="en-US"/>
        </w:rPr>
        <w:t xml:space="preserve">. 2025. </w:t>
      </w:r>
    </w:p>
    <w:p w14:paraId="581B7E17" w14:textId="77777777" w:rsidR="00FE7FC4" w:rsidRPr="00FE7FC4" w:rsidRDefault="00FE7FC4" w:rsidP="00C82947">
      <w:pPr>
        <w:spacing w:after="60"/>
        <w:ind w:left="284" w:right="40" w:hanging="284"/>
        <w:rPr>
          <w:spacing w:val="-6"/>
          <w:sz w:val="19"/>
          <w:szCs w:val="19"/>
          <w:lang w:val="en-US"/>
        </w:rPr>
      </w:pPr>
      <w:r w:rsidRPr="00FE7FC4">
        <w:rPr>
          <w:spacing w:val="-6"/>
          <w:sz w:val="19"/>
          <w:szCs w:val="19"/>
          <w:lang w:val="en-US"/>
        </w:rPr>
        <w:t xml:space="preserve">AMERICAN PSYCHIATRIC ASSOCIATION. Diagnostic and statistical manual of mental disorders: DSM-5. 5. ed. Arlington: American Psychiatric Publishing, 2013.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https://doi.org/10.1176/appi.books.9780890425596.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13 </w:t>
      </w:r>
      <w:proofErr w:type="spellStart"/>
      <w:r w:rsidRPr="00FE7FC4">
        <w:rPr>
          <w:spacing w:val="-6"/>
          <w:sz w:val="19"/>
          <w:szCs w:val="19"/>
          <w:lang w:val="en-US"/>
        </w:rPr>
        <w:t>mai</w:t>
      </w:r>
      <w:proofErr w:type="spellEnd"/>
      <w:r w:rsidRPr="00FE7FC4">
        <w:rPr>
          <w:spacing w:val="-6"/>
          <w:sz w:val="19"/>
          <w:szCs w:val="19"/>
          <w:lang w:val="en-US"/>
        </w:rPr>
        <w:t>. 2025.</w:t>
      </w:r>
    </w:p>
    <w:p w14:paraId="5A872FEF" w14:textId="6DF40B02" w:rsidR="00FE7FC4" w:rsidRPr="00FE7FC4" w:rsidRDefault="00FE7FC4" w:rsidP="00C82947">
      <w:pPr>
        <w:spacing w:after="60"/>
        <w:ind w:left="284" w:right="40" w:hanging="284"/>
        <w:rPr>
          <w:spacing w:val="-6"/>
          <w:sz w:val="19"/>
          <w:szCs w:val="19"/>
          <w:lang w:val="en-US"/>
        </w:rPr>
      </w:pPr>
      <w:r w:rsidRPr="00FE7FC4">
        <w:rPr>
          <w:spacing w:val="-6"/>
          <w:sz w:val="19"/>
          <w:szCs w:val="19"/>
          <w:lang w:val="en-US"/>
        </w:rPr>
        <w:t>AYANO, G</w:t>
      </w:r>
      <w:r w:rsidR="00B64A45">
        <w:rPr>
          <w:spacing w:val="-6"/>
          <w:sz w:val="19"/>
          <w:szCs w:val="19"/>
          <w:lang w:val="en-US"/>
        </w:rPr>
        <w:t>.</w:t>
      </w:r>
      <w:r w:rsidRPr="00FE7FC4">
        <w:rPr>
          <w:spacing w:val="-6"/>
          <w:sz w:val="19"/>
          <w:szCs w:val="19"/>
          <w:lang w:val="en-US"/>
        </w:rPr>
        <w:t>; DEMELASH, S</w:t>
      </w:r>
      <w:r w:rsidR="00B64A45">
        <w:rPr>
          <w:spacing w:val="-6"/>
          <w:sz w:val="19"/>
          <w:szCs w:val="19"/>
          <w:lang w:val="en-US"/>
        </w:rPr>
        <w:t>.</w:t>
      </w:r>
      <w:r w:rsidRPr="00FE7FC4">
        <w:rPr>
          <w:spacing w:val="-6"/>
          <w:sz w:val="19"/>
          <w:szCs w:val="19"/>
          <w:lang w:val="en-US"/>
        </w:rPr>
        <w:t>; GIZACHEW, Y</w:t>
      </w:r>
      <w:r w:rsidR="00B64A45">
        <w:rPr>
          <w:spacing w:val="-6"/>
          <w:sz w:val="19"/>
          <w:szCs w:val="19"/>
          <w:lang w:val="en-US"/>
        </w:rPr>
        <w:t>.</w:t>
      </w:r>
      <w:r w:rsidRPr="00FE7FC4">
        <w:rPr>
          <w:spacing w:val="-6"/>
          <w:sz w:val="19"/>
          <w:szCs w:val="19"/>
          <w:lang w:val="en-US"/>
        </w:rPr>
        <w:t>; TSEGAY, L</w:t>
      </w:r>
      <w:r w:rsidR="00B64A45">
        <w:rPr>
          <w:spacing w:val="-6"/>
          <w:sz w:val="19"/>
          <w:szCs w:val="19"/>
          <w:lang w:val="en-US"/>
        </w:rPr>
        <w:t>.</w:t>
      </w:r>
      <w:r w:rsidRPr="00FE7FC4">
        <w:rPr>
          <w:spacing w:val="-6"/>
          <w:sz w:val="19"/>
          <w:szCs w:val="19"/>
          <w:lang w:val="en-US"/>
        </w:rPr>
        <w:t xml:space="preserve">; ALATI, R. The global prevalence of attention deficit hyperactivity disorder in children and adolescents: An umbrella review of meta-analyses. Journal of Affective Disorders, Australia, v. 339, n. 1, p. 860–866, 15 out. 2023.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https://doi.org/10.1016/j.jad.2023.01.029.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18 abr. 2025.</w:t>
      </w:r>
    </w:p>
    <w:p w14:paraId="28F52846" w14:textId="77777777" w:rsidR="00FE7FC4" w:rsidRPr="00FE7FC4" w:rsidRDefault="00FE7FC4" w:rsidP="00C82947">
      <w:pPr>
        <w:spacing w:after="60"/>
        <w:ind w:left="284" w:right="40" w:hanging="284"/>
        <w:rPr>
          <w:spacing w:val="-6"/>
          <w:sz w:val="19"/>
          <w:szCs w:val="19"/>
          <w:lang w:val="en-US"/>
        </w:rPr>
      </w:pPr>
      <w:r w:rsidRPr="00FE7FC4">
        <w:rPr>
          <w:spacing w:val="-6"/>
          <w:sz w:val="19"/>
          <w:szCs w:val="19"/>
          <w:lang w:val="en-US"/>
        </w:rPr>
        <w:t xml:space="preserve">AZEVEDO, M. C. de A.; RODRIGUES, C. F. </w:t>
      </w:r>
      <w:proofErr w:type="gramStart"/>
      <w:r w:rsidRPr="00FE7FC4">
        <w:rPr>
          <w:spacing w:val="-6"/>
          <w:sz w:val="19"/>
          <w:szCs w:val="19"/>
          <w:lang w:val="en-US"/>
        </w:rPr>
        <w:t>P.;</w:t>
      </w:r>
      <w:proofErr w:type="gramEnd"/>
      <w:r w:rsidRPr="00FE7FC4">
        <w:rPr>
          <w:spacing w:val="-6"/>
          <w:sz w:val="19"/>
          <w:szCs w:val="19"/>
          <w:lang w:val="en-US"/>
        </w:rPr>
        <w:t xml:space="preserve"> COLARES, F. B.; DA CRUZ, T. T. A. Pharmacological treatment in ADHD patients with emphasis on the use of methylphenidate: Systematic review. Brazilian Journal of Development, Curitiba, v. 7, n. 11, p. 107876–107900, 2021.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https://doi.org/10.34117/bjdv7n11-1183.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22 abr. 2025.</w:t>
      </w:r>
    </w:p>
    <w:p w14:paraId="67DF32FA" w14:textId="57326851" w:rsidR="00FE7FC4" w:rsidRPr="00FE7FC4" w:rsidRDefault="00FE7FC4" w:rsidP="00C82947">
      <w:pPr>
        <w:spacing w:after="60"/>
        <w:ind w:left="284" w:right="40" w:hanging="284"/>
        <w:rPr>
          <w:spacing w:val="-6"/>
          <w:sz w:val="19"/>
          <w:szCs w:val="19"/>
        </w:rPr>
      </w:pPr>
      <w:r w:rsidRPr="00FE7FC4">
        <w:rPr>
          <w:spacing w:val="-6"/>
          <w:sz w:val="19"/>
          <w:szCs w:val="19"/>
          <w:lang w:val="en-US"/>
        </w:rPr>
        <w:t>BANASCHEWSKI, T</w:t>
      </w:r>
      <w:r w:rsidR="00B64A45">
        <w:rPr>
          <w:spacing w:val="-6"/>
          <w:sz w:val="19"/>
          <w:szCs w:val="19"/>
          <w:lang w:val="en-US"/>
        </w:rPr>
        <w:t>.</w:t>
      </w:r>
      <w:r w:rsidRPr="00FE7FC4">
        <w:rPr>
          <w:spacing w:val="-6"/>
          <w:sz w:val="19"/>
          <w:szCs w:val="19"/>
          <w:lang w:val="en-US"/>
        </w:rPr>
        <w:t>; JOHNSON, M</w:t>
      </w:r>
      <w:r w:rsidR="00B64A45">
        <w:rPr>
          <w:spacing w:val="-6"/>
          <w:sz w:val="19"/>
          <w:szCs w:val="19"/>
          <w:lang w:val="en-US"/>
        </w:rPr>
        <w:t>.</w:t>
      </w:r>
      <w:r w:rsidRPr="00FE7FC4">
        <w:rPr>
          <w:spacing w:val="-6"/>
          <w:sz w:val="19"/>
          <w:szCs w:val="19"/>
          <w:lang w:val="en-US"/>
        </w:rPr>
        <w:t>; NAGY, P</w:t>
      </w:r>
      <w:r w:rsidR="00B64A45">
        <w:rPr>
          <w:spacing w:val="-6"/>
          <w:sz w:val="19"/>
          <w:szCs w:val="19"/>
          <w:lang w:val="en-US"/>
        </w:rPr>
        <w:t>.</w:t>
      </w:r>
      <w:r w:rsidRPr="00FE7FC4">
        <w:rPr>
          <w:spacing w:val="-6"/>
          <w:sz w:val="19"/>
          <w:szCs w:val="19"/>
          <w:lang w:val="en-US"/>
        </w:rPr>
        <w:t>; HERNÁNDEZ OTERO, I</w:t>
      </w:r>
      <w:r w:rsidR="00B64A45">
        <w:rPr>
          <w:spacing w:val="-6"/>
          <w:sz w:val="19"/>
          <w:szCs w:val="19"/>
          <w:lang w:val="en-US"/>
        </w:rPr>
        <w:t>.</w:t>
      </w:r>
      <w:r w:rsidRPr="00FE7FC4">
        <w:rPr>
          <w:spacing w:val="-6"/>
          <w:sz w:val="19"/>
          <w:szCs w:val="19"/>
          <w:lang w:val="en-US"/>
        </w:rPr>
        <w:t>; SOUTULLO, C</w:t>
      </w:r>
      <w:r w:rsidR="00B64A45">
        <w:rPr>
          <w:spacing w:val="-6"/>
          <w:sz w:val="19"/>
          <w:szCs w:val="19"/>
          <w:lang w:val="en-US"/>
        </w:rPr>
        <w:t>.</w:t>
      </w:r>
      <w:r w:rsidRPr="00FE7FC4">
        <w:rPr>
          <w:spacing w:val="-6"/>
          <w:sz w:val="19"/>
          <w:szCs w:val="19"/>
          <w:lang w:val="en-US"/>
        </w:rPr>
        <w:t xml:space="preserve"> A.; YAN, B</w:t>
      </w:r>
      <w:r w:rsidR="00B64A45">
        <w:rPr>
          <w:spacing w:val="-6"/>
          <w:sz w:val="19"/>
          <w:szCs w:val="19"/>
          <w:lang w:val="en-US"/>
        </w:rPr>
        <w:t>.</w:t>
      </w:r>
      <w:r w:rsidRPr="00FE7FC4">
        <w:rPr>
          <w:spacing w:val="-6"/>
          <w:sz w:val="19"/>
          <w:szCs w:val="19"/>
          <w:lang w:val="en-US"/>
        </w:rPr>
        <w:t>; ZUDDAS, A</w:t>
      </w:r>
      <w:r w:rsidR="00B64A45">
        <w:rPr>
          <w:spacing w:val="-6"/>
          <w:sz w:val="19"/>
          <w:szCs w:val="19"/>
          <w:lang w:val="en-US"/>
        </w:rPr>
        <w:t>.</w:t>
      </w:r>
      <w:r w:rsidRPr="00FE7FC4">
        <w:rPr>
          <w:spacing w:val="-6"/>
          <w:sz w:val="19"/>
          <w:szCs w:val="19"/>
          <w:lang w:val="en-US"/>
        </w:rPr>
        <w:t>; COGHILL, D</w:t>
      </w:r>
      <w:r w:rsidR="00B64A45">
        <w:rPr>
          <w:spacing w:val="-6"/>
          <w:sz w:val="19"/>
          <w:szCs w:val="19"/>
          <w:lang w:val="en-US"/>
        </w:rPr>
        <w:t>.</w:t>
      </w:r>
      <w:r w:rsidRPr="00FE7FC4">
        <w:rPr>
          <w:spacing w:val="-6"/>
          <w:sz w:val="19"/>
          <w:szCs w:val="19"/>
          <w:lang w:val="en-US"/>
        </w:rPr>
        <w:t xml:space="preserve"> R. Growth and puberty in a 2-year open-label study of </w:t>
      </w:r>
      <w:proofErr w:type="spellStart"/>
      <w:r w:rsidRPr="00FE7FC4">
        <w:rPr>
          <w:spacing w:val="-6"/>
          <w:sz w:val="19"/>
          <w:szCs w:val="19"/>
          <w:lang w:val="en-US"/>
        </w:rPr>
        <w:t>lisdexamfetamine</w:t>
      </w:r>
      <w:proofErr w:type="spellEnd"/>
      <w:r w:rsidRPr="00FE7FC4">
        <w:rPr>
          <w:spacing w:val="-6"/>
          <w:sz w:val="19"/>
          <w:szCs w:val="19"/>
          <w:lang w:val="en-US"/>
        </w:rPr>
        <w:t xml:space="preserve"> </w:t>
      </w:r>
      <w:proofErr w:type="spellStart"/>
      <w:r w:rsidRPr="00FE7FC4">
        <w:rPr>
          <w:spacing w:val="-6"/>
          <w:sz w:val="19"/>
          <w:szCs w:val="19"/>
          <w:lang w:val="en-US"/>
        </w:rPr>
        <w:t>dimesylate</w:t>
      </w:r>
      <w:proofErr w:type="spellEnd"/>
      <w:r w:rsidRPr="00FE7FC4">
        <w:rPr>
          <w:spacing w:val="-6"/>
          <w:sz w:val="19"/>
          <w:szCs w:val="19"/>
          <w:lang w:val="en-US"/>
        </w:rPr>
        <w:t xml:space="preserve"> in children and adolescents with attention-deficit/hyperactivity disorder. </w:t>
      </w:r>
      <w:r w:rsidRPr="002F73BA">
        <w:rPr>
          <w:spacing w:val="-6"/>
          <w:sz w:val="19"/>
          <w:szCs w:val="19"/>
          <w:lang w:val="pt-BR"/>
        </w:rPr>
        <w:t xml:space="preserve">CNS Drugs, v. 32, n. 5, p. 455–467, 2018. </w:t>
      </w:r>
      <w:r w:rsidRPr="00FE7FC4">
        <w:rPr>
          <w:spacing w:val="-6"/>
          <w:sz w:val="19"/>
          <w:szCs w:val="19"/>
          <w:lang w:val="pt-BR"/>
        </w:rPr>
        <w:t xml:space="preserve">Disponível em: https://doi.org/10.1007/s40263-018-0514-8. Acesso em: </w:t>
      </w:r>
      <w:r w:rsidRPr="00FE7FC4">
        <w:rPr>
          <w:spacing w:val="-6"/>
          <w:sz w:val="19"/>
          <w:szCs w:val="19"/>
        </w:rPr>
        <w:t>02 mai. 2025.</w:t>
      </w:r>
    </w:p>
    <w:p w14:paraId="1E3AF498" w14:textId="77777777" w:rsidR="00FE7FC4" w:rsidRPr="00FE7FC4" w:rsidRDefault="00FE7FC4" w:rsidP="00C82947">
      <w:pPr>
        <w:spacing w:after="60"/>
        <w:ind w:left="284" w:right="40" w:hanging="284"/>
        <w:rPr>
          <w:color w:val="FF0000"/>
          <w:spacing w:val="-6"/>
          <w:sz w:val="19"/>
          <w:szCs w:val="19"/>
        </w:rPr>
      </w:pPr>
      <w:r w:rsidRPr="00FE7FC4">
        <w:rPr>
          <w:spacing w:val="-6"/>
          <w:sz w:val="19"/>
          <w:szCs w:val="19"/>
        </w:rPr>
        <w:t xml:space="preserve">BARION, G. B.; JESUS, G. S. de. Transtorno afetivo bipolar – revisão da literatura. </w:t>
      </w:r>
      <w:proofErr w:type="spellStart"/>
      <w:r w:rsidRPr="00FE7FC4">
        <w:rPr>
          <w:spacing w:val="-6"/>
          <w:sz w:val="19"/>
          <w:szCs w:val="19"/>
        </w:rPr>
        <w:t>Contribuciones</w:t>
      </w:r>
      <w:proofErr w:type="spellEnd"/>
      <w:r w:rsidRPr="00FE7FC4">
        <w:rPr>
          <w:spacing w:val="-6"/>
          <w:sz w:val="19"/>
          <w:szCs w:val="19"/>
        </w:rPr>
        <w:t xml:space="preserve"> a las </w:t>
      </w:r>
      <w:proofErr w:type="spellStart"/>
      <w:r w:rsidRPr="00FE7FC4">
        <w:rPr>
          <w:spacing w:val="-6"/>
          <w:sz w:val="19"/>
          <w:szCs w:val="19"/>
        </w:rPr>
        <w:t>Ciencias</w:t>
      </w:r>
      <w:proofErr w:type="spellEnd"/>
      <w:r w:rsidRPr="00FE7FC4">
        <w:rPr>
          <w:spacing w:val="-6"/>
          <w:sz w:val="19"/>
          <w:szCs w:val="19"/>
        </w:rPr>
        <w:t xml:space="preserve"> </w:t>
      </w:r>
      <w:proofErr w:type="spellStart"/>
      <w:r w:rsidRPr="00FE7FC4">
        <w:rPr>
          <w:spacing w:val="-6"/>
          <w:sz w:val="19"/>
          <w:szCs w:val="19"/>
        </w:rPr>
        <w:t>Sociales</w:t>
      </w:r>
      <w:proofErr w:type="spellEnd"/>
      <w:r w:rsidRPr="00FE7FC4">
        <w:rPr>
          <w:spacing w:val="-6"/>
          <w:sz w:val="19"/>
          <w:szCs w:val="19"/>
        </w:rPr>
        <w:t>, v. 17, n. 12, 2023. Disponível em:</w:t>
      </w:r>
      <w:hyperlink r:id="rId12">
        <w:r w:rsidRPr="00FE7FC4">
          <w:rPr>
            <w:spacing w:val="-6"/>
            <w:sz w:val="19"/>
            <w:szCs w:val="19"/>
          </w:rPr>
          <w:t xml:space="preserve"> https://doi.org/10.55905/revconv.17n.12-100</w:t>
        </w:r>
      </w:hyperlink>
      <w:r w:rsidRPr="00FE7FC4">
        <w:rPr>
          <w:spacing w:val="-6"/>
          <w:sz w:val="19"/>
          <w:szCs w:val="19"/>
        </w:rPr>
        <w:t>. Acesso em: 06 jun. 2025</w:t>
      </w:r>
      <w:r w:rsidRPr="00FE7FC4">
        <w:rPr>
          <w:color w:val="FF0000"/>
          <w:spacing w:val="-6"/>
          <w:sz w:val="19"/>
          <w:szCs w:val="19"/>
        </w:rPr>
        <w:t>.</w:t>
      </w:r>
    </w:p>
    <w:p w14:paraId="0E06B120" w14:textId="77777777" w:rsidR="00FE7FC4" w:rsidRPr="00FE7FC4" w:rsidRDefault="00FE7FC4" w:rsidP="00C82947">
      <w:pPr>
        <w:spacing w:after="60"/>
        <w:ind w:left="284" w:right="40" w:hanging="284"/>
        <w:rPr>
          <w:spacing w:val="-6"/>
          <w:sz w:val="19"/>
          <w:szCs w:val="19"/>
          <w:lang w:val="pt-BR"/>
        </w:rPr>
      </w:pPr>
      <w:r w:rsidRPr="00FE7FC4">
        <w:rPr>
          <w:spacing w:val="-6"/>
          <w:sz w:val="19"/>
          <w:szCs w:val="19"/>
        </w:rPr>
        <w:t xml:space="preserve">BENCZIK, E. B. P.; CASELLA, E. B. Compreendendo o impacto do TDAH na dinâmica familiar e as possibilidades de intervenção. Revista </w:t>
      </w:r>
      <w:proofErr w:type="spellStart"/>
      <w:proofErr w:type="gramStart"/>
      <w:r w:rsidRPr="00FE7FC4">
        <w:rPr>
          <w:spacing w:val="-6"/>
          <w:sz w:val="19"/>
          <w:szCs w:val="19"/>
        </w:rPr>
        <w:t>Psicopedagogia,v</w:t>
      </w:r>
      <w:proofErr w:type="spellEnd"/>
      <w:r w:rsidRPr="00FE7FC4">
        <w:rPr>
          <w:spacing w:val="-6"/>
          <w:sz w:val="19"/>
          <w:szCs w:val="19"/>
        </w:rPr>
        <w:t>.</w:t>
      </w:r>
      <w:proofErr w:type="gramEnd"/>
      <w:r w:rsidRPr="00FE7FC4">
        <w:rPr>
          <w:spacing w:val="-6"/>
          <w:sz w:val="19"/>
          <w:szCs w:val="19"/>
        </w:rPr>
        <w:t xml:space="preserve"> 32, n. 97, p. 93–103, 2015. Disponível em: https://pepsic.bvsalud.org/scielo.php?script=sci_arttext&amp;pid=S0103-84862015 000100012. </w:t>
      </w:r>
      <w:r w:rsidRPr="00FE7FC4">
        <w:rPr>
          <w:spacing w:val="-6"/>
          <w:sz w:val="19"/>
          <w:szCs w:val="19"/>
          <w:lang w:val="pt-BR"/>
        </w:rPr>
        <w:t>Acesso em: 23 abr. 2025.</w:t>
      </w:r>
    </w:p>
    <w:p w14:paraId="0EC8F560" w14:textId="77777777" w:rsidR="00FE7FC4" w:rsidRPr="00FE7FC4" w:rsidRDefault="00FE7FC4" w:rsidP="00C82947">
      <w:pPr>
        <w:spacing w:after="60"/>
        <w:ind w:left="284" w:right="40" w:hanging="284"/>
        <w:rPr>
          <w:spacing w:val="-6"/>
          <w:sz w:val="19"/>
          <w:szCs w:val="19"/>
        </w:rPr>
      </w:pPr>
      <w:r w:rsidRPr="00FE7FC4">
        <w:rPr>
          <w:spacing w:val="-6"/>
          <w:sz w:val="19"/>
          <w:szCs w:val="19"/>
        </w:rPr>
        <w:t xml:space="preserve">BOSAIPO, N. B.; BORGES, V. F.; JURUENA, M. F. Transtorno bipolar: uma revisão dos </w:t>
      </w:r>
      <w:proofErr w:type="spellStart"/>
      <w:r w:rsidRPr="00FE7FC4">
        <w:rPr>
          <w:spacing w:val="-6"/>
          <w:sz w:val="19"/>
          <w:szCs w:val="19"/>
        </w:rPr>
        <w:t>aspectos</w:t>
      </w:r>
      <w:proofErr w:type="spellEnd"/>
      <w:r w:rsidRPr="00FE7FC4">
        <w:rPr>
          <w:spacing w:val="-6"/>
          <w:sz w:val="19"/>
          <w:szCs w:val="19"/>
        </w:rPr>
        <w:t xml:space="preserve"> conceituais e clínicos. Medicina (Ribeirão Preto), Ribeirão Preto, v. 50, n. 1, p. 72–84, 2017. Disponível em: https://doi.org/10.11606/issn.2176-7262.v50i1p72-84. Acesso em: 08 mai. 2025.</w:t>
      </w:r>
    </w:p>
    <w:p w14:paraId="3E7C96BF" w14:textId="77777777" w:rsidR="00FE7FC4" w:rsidRPr="00FE7FC4" w:rsidRDefault="00FE7FC4" w:rsidP="00C82947">
      <w:pPr>
        <w:spacing w:after="60"/>
        <w:ind w:left="284" w:right="40" w:hanging="284"/>
        <w:rPr>
          <w:spacing w:val="-6"/>
          <w:sz w:val="19"/>
          <w:szCs w:val="19"/>
          <w:lang w:val="pt-BR"/>
        </w:rPr>
      </w:pPr>
      <w:r w:rsidRPr="00FE7FC4">
        <w:rPr>
          <w:spacing w:val="-6"/>
          <w:sz w:val="19"/>
          <w:szCs w:val="19"/>
          <w:lang w:val="pt-BR"/>
        </w:rPr>
        <w:t>BRASIL. Ministério da Saúde. Secretaria de Vigilância Sanitária. Portaria nº 344, de 12 de maio de 1998. Aprova o regulamento técnico sobre substâncias e medicamentos sujeitos a controle especial. Diário Oficial da União: seção 1, Brasília, DF, 13 maio 1998. Disponível em: https://www.gov.br/anvisa/pt-br/assuntos/medicamentos/controlados/lista-substancias. Acesso em: 6 jun. 2025.</w:t>
      </w:r>
    </w:p>
    <w:p w14:paraId="12E91D8F" w14:textId="075BFE0E" w:rsidR="00FE7FC4" w:rsidRPr="002F73BA" w:rsidRDefault="00FE7FC4" w:rsidP="00C82947">
      <w:pPr>
        <w:spacing w:after="60"/>
        <w:ind w:left="284" w:right="40" w:hanging="284"/>
        <w:rPr>
          <w:spacing w:val="-6"/>
          <w:sz w:val="19"/>
          <w:szCs w:val="19"/>
          <w:lang w:val="pt-BR"/>
        </w:rPr>
      </w:pPr>
      <w:r w:rsidRPr="00FE7FC4">
        <w:rPr>
          <w:spacing w:val="-6"/>
          <w:sz w:val="19"/>
          <w:szCs w:val="19"/>
        </w:rPr>
        <w:t>CAMPOS, A</w:t>
      </w:r>
      <w:r w:rsidR="00B64A45">
        <w:rPr>
          <w:spacing w:val="-6"/>
          <w:sz w:val="19"/>
          <w:szCs w:val="19"/>
        </w:rPr>
        <w:t xml:space="preserve">. </w:t>
      </w:r>
      <w:r w:rsidRPr="00FE7FC4">
        <w:rPr>
          <w:spacing w:val="-6"/>
          <w:sz w:val="19"/>
          <w:szCs w:val="19"/>
        </w:rPr>
        <w:t>R</w:t>
      </w:r>
      <w:r w:rsidR="00B64A45">
        <w:rPr>
          <w:spacing w:val="-6"/>
          <w:sz w:val="19"/>
          <w:szCs w:val="19"/>
        </w:rPr>
        <w:t>.</w:t>
      </w:r>
      <w:r w:rsidRPr="00FE7FC4">
        <w:rPr>
          <w:spacing w:val="-6"/>
          <w:sz w:val="19"/>
          <w:szCs w:val="19"/>
        </w:rPr>
        <w:t xml:space="preserve"> de </w:t>
      </w:r>
      <w:proofErr w:type="spellStart"/>
      <w:proofErr w:type="gramStart"/>
      <w:r w:rsidRPr="00FE7FC4">
        <w:rPr>
          <w:spacing w:val="-6"/>
          <w:sz w:val="19"/>
          <w:szCs w:val="19"/>
        </w:rPr>
        <w:t>O</w:t>
      </w:r>
      <w:r w:rsidR="00B64A45">
        <w:rPr>
          <w:spacing w:val="-6"/>
          <w:sz w:val="19"/>
          <w:szCs w:val="19"/>
        </w:rPr>
        <w:t>,</w:t>
      </w:r>
      <w:r w:rsidRPr="00FE7FC4">
        <w:rPr>
          <w:spacing w:val="-6"/>
          <w:sz w:val="19"/>
          <w:szCs w:val="19"/>
        </w:rPr>
        <w:t>a</w:t>
      </w:r>
      <w:proofErr w:type="spellEnd"/>
      <w:proofErr w:type="gramEnd"/>
      <w:r w:rsidRPr="00FE7FC4">
        <w:rPr>
          <w:spacing w:val="-6"/>
          <w:sz w:val="19"/>
          <w:szCs w:val="19"/>
        </w:rPr>
        <w:t>; ALVES, E</w:t>
      </w:r>
      <w:r w:rsidR="00B64A45">
        <w:rPr>
          <w:spacing w:val="-6"/>
          <w:sz w:val="19"/>
          <w:szCs w:val="19"/>
        </w:rPr>
        <w:t xml:space="preserve">. </w:t>
      </w:r>
      <w:r w:rsidRPr="00FE7FC4">
        <w:rPr>
          <w:spacing w:val="-6"/>
          <w:sz w:val="19"/>
          <w:szCs w:val="19"/>
        </w:rPr>
        <w:t>M</w:t>
      </w:r>
      <w:r w:rsidR="00B64A45">
        <w:rPr>
          <w:spacing w:val="-6"/>
          <w:sz w:val="19"/>
          <w:szCs w:val="19"/>
        </w:rPr>
        <w:t>.</w:t>
      </w:r>
      <w:r w:rsidRPr="00FE7FC4">
        <w:rPr>
          <w:spacing w:val="-6"/>
          <w:sz w:val="19"/>
          <w:szCs w:val="19"/>
        </w:rPr>
        <w:t>; SILVA, J</w:t>
      </w:r>
      <w:r w:rsidR="00B64A45">
        <w:rPr>
          <w:spacing w:val="-6"/>
          <w:sz w:val="19"/>
          <w:szCs w:val="19"/>
        </w:rPr>
        <w:t>.</w:t>
      </w:r>
      <w:r w:rsidRPr="00FE7FC4">
        <w:rPr>
          <w:spacing w:val="-6"/>
          <w:sz w:val="19"/>
          <w:szCs w:val="19"/>
        </w:rPr>
        <w:t xml:space="preserve"> L</w:t>
      </w:r>
      <w:r w:rsidR="00B64A45">
        <w:rPr>
          <w:spacing w:val="-6"/>
          <w:sz w:val="19"/>
          <w:szCs w:val="19"/>
        </w:rPr>
        <w:t xml:space="preserve">. </w:t>
      </w:r>
      <w:r w:rsidRPr="00FE7FC4">
        <w:rPr>
          <w:spacing w:val="-6"/>
          <w:sz w:val="19"/>
          <w:szCs w:val="19"/>
        </w:rPr>
        <w:t>da; AMÂNCIO, N</w:t>
      </w:r>
      <w:r w:rsidR="00B64A45">
        <w:rPr>
          <w:spacing w:val="-6"/>
          <w:sz w:val="19"/>
          <w:szCs w:val="19"/>
        </w:rPr>
        <w:t>.</w:t>
      </w:r>
      <w:r w:rsidRPr="00FE7FC4">
        <w:rPr>
          <w:spacing w:val="-6"/>
          <w:sz w:val="19"/>
          <w:szCs w:val="19"/>
        </w:rPr>
        <w:t xml:space="preserve"> de F</w:t>
      </w:r>
      <w:r w:rsidR="00B64A45">
        <w:rPr>
          <w:spacing w:val="-6"/>
          <w:sz w:val="19"/>
          <w:szCs w:val="19"/>
        </w:rPr>
        <w:t xml:space="preserve">. </w:t>
      </w:r>
      <w:r w:rsidRPr="00FE7FC4">
        <w:rPr>
          <w:spacing w:val="-6"/>
          <w:sz w:val="19"/>
          <w:szCs w:val="19"/>
        </w:rPr>
        <w:t xml:space="preserve">G. Tratamentos farmacológicos e não medicamentosos para TDAH em crianças: uma revisão. Revista JRG de Estudos Acadêmicos, São Paulo, v. 8, n. 18, p. e181788, 2025. </w:t>
      </w:r>
      <w:r w:rsidRPr="002F73BA">
        <w:rPr>
          <w:spacing w:val="-6"/>
          <w:sz w:val="19"/>
          <w:szCs w:val="19"/>
          <w:lang w:val="pt-BR"/>
        </w:rPr>
        <w:t>Disponível em:</w:t>
      </w:r>
      <w:hyperlink r:id="rId13">
        <w:r w:rsidRPr="002F73BA">
          <w:rPr>
            <w:spacing w:val="-6"/>
            <w:sz w:val="19"/>
            <w:szCs w:val="19"/>
            <w:lang w:val="pt-BR"/>
          </w:rPr>
          <w:t xml:space="preserve"> </w:t>
        </w:r>
        <w:r w:rsidR="006D755C" w:rsidRPr="002F73BA">
          <w:rPr>
            <w:spacing w:val="-6"/>
            <w:sz w:val="19"/>
            <w:szCs w:val="19"/>
            <w:lang w:val="pt-BR"/>
          </w:rPr>
          <w:t>https://doi.org/</w:t>
        </w:r>
        <w:r w:rsidRPr="002F73BA">
          <w:rPr>
            <w:spacing w:val="-6"/>
            <w:sz w:val="19"/>
            <w:szCs w:val="19"/>
            <w:lang w:val="pt-BR"/>
          </w:rPr>
          <w:t>10.55892/jrg.v8i18.1788</w:t>
        </w:r>
      </w:hyperlink>
      <w:r w:rsidRPr="002F73BA">
        <w:rPr>
          <w:spacing w:val="-6"/>
          <w:sz w:val="19"/>
          <w:szCs w:val="19"/>
          <w:lang w:val="pt-BR"/>
        </w:rPr>
        <w:t>. Acesso em: 06 jun. 2025.</w:t>
      </w:r>
    </w:p>
    <w:p w14:paraId="203B4DDB" w14:textId="2510970A" w:rsidR="00FE7FC4" w:rsidRPr="00FE7FC4" w:rsidRDefault="00FE7FC4" w:rsidP="00C82947">
      <w:pPr>
        <w:spacing w:after="60"/>
        <w:ind w:left="284" w:right="40" w:hanging="284"/>
        <w:rPr>
          <w:spacing w:val="-6"/>
          <w:sz w:val="19"/>
          <w:szCs w:val="19"/>
          <w:lang w:val="en-US"/>
        </w:rPr>
      </w:pPr>
      <w:r w:rsidRPr="00FE7FC4">
        <w:rPr>
          <w:spacing w:val="-6"/>
          <w:sz w:val="19"/>
          <w:szCs w:val="19"/>
          <w:lang w:val="en-US"/>
        </w:rPr>
        <w:t xml:space="preserve">CECIL, C. A. M.; NIGG, J. T. Epigenetics and ADHD: reflections on current knowledge, research priorities and translational potential. </w:t>
      </w:r>
      <w:r w:rsidRPr="00FE7FC4">
        <w:rPr>
          <w:spacing w:val="-6"/>
          <w:sz w:val="19"/>
          <w:szCs w:val="19"/>
        </w:rPr>
        <w:t xml:space="preserve">Molecular </w:t>
      </w:r>
      <w:proofErr w:type="spellStart"/>
      <w:r w:rsidRPr="00FE7FC4">
        <w:rPr>
          <w:spacing w:val="-6"/>
          <w:sz w:val="19"/>
          <w:szCs w:val="19"/>
        </w:rPr>
        <w:t>Diagnosis</w:t>
      </w:r>
      <w:proofErr w:type="spellEnd"/>
      <w:r w:rsidRPr="00FE7FC4">
        <w:rPr>
          <w:spacing w:val="-6"/>
          <w:sz w:val="19"/>
          <w:szCs w:val="19"/>
        </w:rPr>
        <w:t xml:space="preserve"> &amp;</w:t>
      </w:r>
      <w:r w:rsidR="00196D2B">
        <w:rPr>
          <w:spacing w:val="-6"/>
          <w:sz w:val="19"/>
          <w:szCs w:val="19"/>
        </w:rPr>
        <w:t xml:space="preserve"> </w:t>
      </w:r>
      <w:proofErr w:type="spellStart"/>
      <w:r w:rsidRPr="00FE7FC4">
        <w:rPr>
          <w:spacing w:val="-6"/>
          <w:sz w:val="19"/>
          <w:szCs w:val="19"/>
        </w:rPr>
        <w:t>Therapy</w:t>
      </w:r>
      <w:proofErr w:type="spellEnd"/>
      <w:r w:rsidRPr="00FE7FC4">
        <w:rPr>
          <w:spacing w:val="-6"/>
          <w:sz w:val="19"/>
          <w:szCs w:val="19"/>
        </w:rPr>
        <w:t>,</w:t>
      </w:r>
      <w:r w:rsidR="00196D2B">
        <w:rPr>
          <w:spacing w:val="-6"/>
          <w:sz w:val="19"/>
          <w:szCs w:val="19"/>
        </w:rPr>
        <w:t xml:space="preserve"> </w:t>
      </w:r>
      <w:r w:rsidRPr="00FE7FC4">
        <w:rPr>
          <w:spacing w:val="-6"/>
          <w:sz w:val="19"/>
          <w:szCs w:val="19"/>
        </w:rPr>
        <w:t>v.</w:t>
      </w:r>
      <w:r w:rsidR="00196D2B">
        <w:rPr>
          <w:spacing w:val="-6"/>
          <w:sz w:val="19"/>
          <w:szCs w:val="19"/>
        </w:rPr>
        <w:t xml:space="preserve"> </w:t>
      </w:r>
      <w:r w:rsidRPr="00FE7FC4">
        <w:rPr>
          <w:spacing w:val="-6"/>
          <w:sz w:val="19"/>
          <w:szCs w:val="19"/>
        </w:rPr>
        <w:t>26,</w:t>
      </w:r>
      <w:r w:rsidR="00196D2B">
        <w:rPr>
          <w:spacing w:val="-6"/>
          <w:sz w:val="19"/>
          <w:szCs w:val="19"/>
        </w:rPr>
        <w:t xml:space="preserve"> </w:t>
      </w:r>
      <w:r w:rsidRPr="00FE7FC4">
        <w:rPr>
          <w:spacing w:val="-6"/>
          <w:sz w:val="19"/>
          <w:szCs w:val="19"/>
        </w:rPr>
        <w:t>n.</w:t>
      </w:r>
      <w:r w:rsidR="00196D2B">
        <w:rPr>
          <w:spacing w:val="-6"/>
          <w:sz w:val="19"/>
          <w:szCs w:val="19"/>
        </w:rPr>
        <w:t xml:space="preserve"> </w:t>
      </w:r>
      <w:r w:rsidRPr="00FE7FC4">
        <w:rPr>
          <w:spacing w:val="-6"/>
          <w:sz w:val="19"/>
          <w:szCs w:val="19"/>
        </w:rPr>
        <w:t>6, p.</w:t>
      </w:r>
      <w:r w:rsidR="00196D2B">
        <w:rPr>
          <w:spacing w:val="-6"/>
          <w:sz w:val="19"/>
          <w:szCs w:val="19"/>
        </w:rPr>
        <w:t xml:space="preserve"> </w:t>
      </w:r>
      <w:r w:rsidRPr="00FE7FC4">
        <w:rPr>
          <w:spacing w:val="-6"/>
          <w:sz w:val="19"/>
          <w:szCs w:val="19"/>
        </w:rPr>
        <w:t>581–606,</w:t>
      </w:r>
      <w:r w:rsidR="00196D2B">
        <w:rPr>
          <w:spacing w:val="-6"/>
          <w:sz w:val="19"/>
          <w:szCs w:val="19"/>
        </w:rPr>
        <w:t xml:space="preserve"> </w:t>
      </w:r>
      <w:r w:rsidRPr="00FE7FC4">
        <w:rPr>
          <w:spacing w:val="-6"/>
          <w:sz w:val="19"/>
          <w:szCs w:val="19"/>
        </w:rPr>
        <w:t>2022.</w:t>
      </w:r>
      <w:r w:rsidR="00196D2B">
        <w:rPr>
          <w:spacing w:val="-6"/>
          <w:sz w:val="19"/>
          <w:szCs w:val="19"/>
        </w:rPr>
        <w:t xml:space="preserve"> </w:t>
      </w:r>
      <w:r w:rsidRPr="00FE7FC4">
        <w:rPr>
          <w:spacing w:val="-6"/>
          <w:sz w:val="19"/>
          <w:szCs w:val="19"/>
        </w:rPr>
        <w:t xml:space="preserve">Disponível em: https://doi.org/10.1007/s40291-022-00612-3.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26 </w:t>
      </w:r>
      <w:proofErr w:type="gramStart"/>
      <w:r w:rsidRPr="00FE7FC4">
        <w:rPr>
          <w:spacing w:val="-6"/>
          <w:sz w:val="19"/>
          <w:szCs w:val="19"/>
          <w:lang w:val="en-US"/>
        </w:rPr>
        <w:t>mar</w:t>
      </w:r>
      <w:proofErr w:type="gramEnd"/>
      <w:r w:rsidRPr="00FE7FC4">
        <w:rPr>
          <w:spacing w:val="-6"/>
          <w:sz w:val="19"/>
          <w:szCs w:val="19"/>
          <w:lang w:val="en-US"/>
        </w:rPr>
        <w:t>. de 2025.</w:t>
      </w:r>
    </w:p>
    <w:p w14:paraId="46FA22B7" w14:textId="0521B63E" w:rsidR="00FE7FC4" w:rsidRPr="00FE7FC4" w:rsidRDefault="00FE7FC4" w:rsidP="00C82947">
      <w:pPr>
        <w:spacing w:after="60"/>
        <w:ind w:left="284" w:right="40" w:hanging="284"/>
        <w:rPr>
          <w:spacing w:val="-6"/>
          <w:sz w:val="19"/>
          <w:szCs w:val="19"/>
          <w:lang w:val="pt-BR"/>
        </w:rPr>
      </w:pPr>
      <w:r w:rsidRPr="00FE7FC4">
        <w:rPr>
          <w:spacing w:val="-6"/>
          <w:sz w:val="19"/>
          <w:szCs w:val="19"/>
          <w:lang w:val="en-US"/>
        </w:rPr>
        <w:t>CHUNG, W</w:t>
      </w:r>
      <w:r w:rsidR="00406643">
        <w:rPr>
          <w:spacing w:val="-6"/>
          <w:sz w:val="19"/>
          <w:szCs w:val="19"/>
          <w:lang w:val="en-US"/>
        </w:rPr>
        <w:t>.</w:t>
      </w:r>
      <w:r w:rsidRPr="00FE7FC4">
        <w:rPr>
          <w:spacing w:val="-6"/>
          <w:sz w:val="19"/>
          <w:szCs w:val="19"/>
          <w:lang w:val="en-US"/>
        </w:rPr>
        <w:t>; JIANG, S</w:t>
      </w:r>
      <w:r w:rsidR="00406643">
        <w:rPr>
          <w:spacing w:val="-6"/>
          <w:sz w:val="19"/>
          <w:szCs w:val="19"/>
          <w:lang w:val="en-US"/>
        </w:rPr>
        <w:t>. F.</w:t>
      </w:r>
      <w:r w:rsidRPr="00FE7FC4">
        <w:rPr>
          <w:spacing w:val="-6"/>
          <w:sz w:val="19"/>
          <w:szCs w:val="19"/>
          <w:lang w:val="en-US"/>
        </w:rPr>
        <w:t>; PAKSARIAN, D</w:t>
      </w:r>
      <w:r w:rsidR="00406643">
        <w:rPr>
          <w:spacing w:val="-6"/>
          <w:sz w:val="19"/>
          <w:szCs w:val="19"/>
          <w:lang w:val="en-US"/>
        </w:rPr>
        <w:t>.</w:t>
      </w:r>
      <w:r w:rsidRPr="00FE7FC4">
        <w:rPr>
          <w:spacing w:val="-6"/>
          <w:sz w:val="19"/>
          <w:szCs w:val="19"/>
          <w:lang w:val="en-US"/>
        </w:rPr>
        <w:t>; NIKOLAIDIS, A</w:t>
      </w:r>
      <w:r w:rsidR="00406643">
        <w:rPr>
          <w:spacing w:val="-6"/>
          <w:sz w:val="19"/>
          <w:szCs w:val="19"/>
          <w:lang w:val="en-US"/>
        </w:rPr>
        <w:t>.</w:t>
      </w:r>
      <w:r w:rsidRPr="00FE7FC4">
        <w:rPr>
          <w:spacing w:val="-6"/>
          <w:sz w:val="19"/>
          <w:szCs w:val="19"/>
          <w:lang w:val="en-US"/>
        </w:rPr>
        <w:t xml:space="preserve">; </w:t>
      </w:r>
      <w:r w:rsidRPr="00FE7FC4">
        <w:rPr>
          <w:spacing w:val="-6"/>
          <w:sz w:val="19"/>
          <w:szCs w:val="19"/>
          <w:lang w:val="en-US"/>
        </w:rPr>
        <w:lastRenderedPageBreak/>
        <w:t>CASTELLANOS, F. Xa</w:t>
      </w:r>
      <w:r w:rsidR="00406643">
        <w:rPr>
          <w:spacing w:val="-6"/>
          <w:sz w:val="19"/>
          <w:szCs w:val="19"/>
          <w:lang w:val="en-US"/>
        </w:rPr>
        <w:t>.</w:t>
      </w:r>
      <w:r w:rsidRPr="00FE7FC4">
        <w:rPr>
          <w:spacing w:val="-6"/>
          <w:sz w:val="19"/>
          <w:szCs w:val="19"/>
          <w:lang w:val="en-US"/>
        </w:rPr>
        <w:t>; MERIKANGAS, K</w:t>
      </w:r>
      <w:r w:rsidR="00406643">
        <w:rPr>
          <w:spacing w:val="-6"/>
          <w:sz w:val="19"/>
          <w:szCs w:val="19"/>
          <w:lang w:val="en-US"/>
        </w:rPr>
        <w:t>.</w:t>
      </w:r>
      <w:r w:rsidRPr="00FE7FC4">
        <w:rPr>
          <w:spacing w:val="-6"/>
          <w:sz w:val="19"/>
          <w:szCs w:val="19"/>
          <w:lang w:val="en-US"/>
        </w:rPr>
        <w:t>R.; MILHAM, M</w:t>
      </w:r>
      <w:r w:rsidR="00406643">
        <w:rPr>
          <w:spacing w:val="-6"/>
          <w:sz w:val="19"/>
          <w:szCs w:val="19"/>
          <w:lang w:val="en-US"/>
        </w:rPr>
        <w:t>.</w:t>
      </w:r>
      <w:r w:rsidRPr="00FE7FC4">
        <w:rPr>
          <w:spacing w:val="-6"/>
          <w:sz w:val="19"/>
          <w:szCs w:val="19"/>
          <w:lang w:val="en-US"/>
        </w:rPr>
        <w:t xml:space="preserve"> P. Trends in the prevalence and incidence of attention-deficit/hyperactivity disorder among adults and children of different racial and ethnic groups. </w:t>
      </w:r>
      <w:r w:rsidRPr="00FE7FC4">
        <w:rPr>
          <w:spacing w:val="-6"/>
          <w:sz w:val="19"/>
          <w:szCs w:val="19"/>
          <w:lang w:val="pt-BR"/>
        </w:rPr>
        <w:t>JAMA Network Open, v. 2, n. 11, p. e1914344, 1 nov. 2019. Disponível em: https://doi.org/10.1001/jamanetworkopen.2019.14344. Acesso em: 05 mai. 2025.</w:t>
      </w:r>
    </w:p>
    <w:p w14:paraId="379A3015" w14:textId="30D7BD32" w:rsidR="00FE7FC4" w:rsidRPr="00FE7FC4" w:rsidRDefault="00FE7FC4" w:rsidP="00C82947">
      <w:pPr>
        <w:spacing w:after="60"/>
        <w:ind w:left="284" w:right="40" w:hanging="284"/>
        <w:rPr>
          <w:spacing w:val="-6"/>
          <w:sz w:val="19"/>
          <w:szCs w:val="19"/>
          <w:lang w:val="pt-BR"/>
        </w:rPr>
      </w:pPr>
      <w:r w:rsidRPr="00FE7FC4">
        <w:rPr>
          <w:spacing w:val="-6"/>
          <w:sz w:val="19"/>
          <w:szCs w:val="19"/>
        </w:rPr>
        <w:t>CORTESE, S</w:t>
      </w:r>
      <w:r w:rsidR="00406643">
        <w:rPr>
          <w:spacing w:val="-6"/>
          <w:sz w:val="19"/>
          <w:szCs w:val="19"/>
        </w:rPr>
        <w:t>.</w:t>
      </w:r>
      <w:r w:rsidRPr="00FE7FC4">
        <w:rPr>
          <w:spacing w:val="-6"/>
          <w:sz w:val="19"/>
          <w:szCs w:val="19"/>
        </w:rPr>
        <w:t>; ADAMO, N</w:t>
      </w:r>
      <w:r w:rsidR="00406643">
        <w:rPr>
          <w:spacing w:val="-6"/>
          <w:sz w:val="19"/>
          <w:szCs w:val="19"/>
        </w:rPr>
        <w:t>.</w:t>
      </w:r>
      <w:r w:rsidRPr="00FE7FC4">
        <w:rPr>
          <w:spacing w:val="-6"/>
          <w:sz w:val="19"/>
          <w:szCs w:val="19"/>
        </w:rPr>
        <w:t>; DEL GIOVANE, C</w:t>
      </w:r>
      <w:r w:rsidR="00406643">
        <w:rPr>
          <w:spacing w:val="-6"/>
          <w:sz w:val="19"/>
          <w:szCs w:val="19"/>
        </w:rPr>
        <w:t>.</w:t>
      </w:r>
      <w:r w:rsidRPr="00FE7FC4">
        <w:rPr>
          <w:spacing w:val="-6"/>
          <w:sz w:val="19"/>
          <w:szCs w:val="19"/>
        </w:rPr>
        <w:t>; MOHR-JENSEN, C</w:t>
      </w:r>
      <w:r w:rsidR="00406643">
        <w:rPr>
          <w:spacing w:val="-6"/>
          <w:sz w:val="19"/>
          <w:szCs w:val="19"/>
        </w:rPr>
        <w:t>.</w:t>
      </w:r>
      <w:r w:rsidRPr="00FE7FC4">
        <w:rPr>
          <w:spacing w:val="-6"/>
          <w:sz w:val="19"/>
          <w:szCs w:val="19"/>
        </w:rPr>
        <w:t>; HAYES, A</w:t>
      </w:r>
      <w:r w:rsidR="00406643">
        <w:rPr>
          <w:spacing w:val="-6"/>
          <w:sz w:val="19"/>
          <w:szCs w:val="19"/>
        </w:rPr>
        <w:t>.</w:t>
      </w:r>
      <w:r w:rsidRPr="00FE7FC4">
        <w:rPr>
          <w:spacing w:val="-6"/>
          <w:sz w:val="19"/>
          <w:szCs w:val="19"/>
        </w:rPr>
        <w:t>J.; CARUCCI, S</w:t>
      </w:r>
      <w:r w:rsidR="00406643">
        <w:rPr>
          <w:spacing w:val="-6"/>
          <w:sz w:val="19"/>
          <w:szCs w:val="19"/>
        </w:rPr>
        <w:t xml:space="preserve">. </w:t>
      </w:r>
      <w:proofErr w:type="spellStart"/>
      <w:r w:rsidRPr="00FE7FC4">
        <w:rPr>
          <w:i/>
          <w:iCs/>
          <w:spacing w:val="-6"/>
          <w:sz w:val="19"/>
          <w:szCs w:val="19"/>
        </w:rPr>
        <w:t>et</w:t>
      </w:r>
      <w:proofErr w:type="spellEnd"/>
      <w:r w:rsidRPr="00FE7FC4">
        <w:rPr>
          <w:i/>
          <w:iCs/>
          <w:spacing w:val="-6"/>
          <w:sz w:val="19"/>
          <w:szCs w:val="19"/>
        </w:rPr>
        <w:t xml:space="preserve"> al</w:t>
      </w:r>
      <w:r w:rsidRPr="00FE7FC4">
        <w:rPr>
          <w:spacing w:val="-6"/>
          <w:sz w:val="19"/>
          <w:szCs w:val="19"/>
        </w:rPr>
        <w:t>.</w:t>
      </w:r>
      <w:r w:rsidRPr="00FE7FC4">
        <w:rPr>
          <w:spacing w:val="-6"/>
          <w:sz w:val="19"/>
          <w:szCs w:val="19"/>
          <w:lang w:val="pt-BR"/>
        </w:rPr>
        <w:t xml:space="preserve"> </w:t>
      </w:r>
      <w:r w:rsidRPr="00FE7FC4">
        <w:rPr>
          <w:spacing w:val="-6"/>
          <w:sz w:val="19"/>
          <w:szCs w:val="19"/>
          <w:lang w:val="en-US"/>
        </w:rPr>
        <w:t xml:space="preserve">Comparative efficacy and tolerability of medications for attention-deficit hyperactivity disorder in children, adolescents, and adults: a systematic review and network meta-analysis. </w:t>
      </w:r>
      <w:r w:rsidRPr="00FE7FC4">
        <w:rPr>
          <w:spacing w:val="-6"/>
          <w:sz w:val="19"/>
          <w:szCs w:val="19"/>
          <w:lang w:val="pt-BR"/>
        </w:rPr>
        <w:t xml:space="preserve">The Lancet </w:t>
      </w:r>
      <w:proofErr w:type="spellStart"/>
      <w:r w:rsidRPr="00FE7FC4">
        <w:rPr>
          <w:spacing w:val="-6"/>
          <w:sz w:val="19"/>
          <w:szCs w:val="19"/>
          <w:lang w:val="pt-BR"/>
        </w:rPr>
        <w:t>Psychiatry</w:t>
      </w:r>
      <w:proofErr w:type="spellEnd"/>
      <w:r w:rsidRPr="00FE7FC4">
        <w:rPr>
          <w:spacing w:val="-6"/>
          <w:sz w:val="19"/>
          <w:szCs w:val="19"/>
          <w:lang w:val="pt-BR"/>
        </w:rPr>
        <w:t>, v. 5, p. 727–738, 2018. Disponível em: https://doi.org/10.1016/S2215-0366(18)30269-4. Acesso em: 23 mar. 2025.</w:t>
      </w:r>
    </w:p>
    <w:p w14:paraId="1A9BFF0C" w14:textId="6B4535C9" w:rsidR="00FE7FC4" w:rsidRPr="00FE7FC4" w:rsidRDefault="00FE7FC4" w:rsidP="00C82947">
      <w:pPr>
        <w:spacing w:after="60"/>
        <w:ind w:left="284" w:right="40" w:hanging="284"/>
        <w:rPr>
          <w:spacing w:val="-6"/>
          <w:sz w:val="19"/>
          <w:szCs w:val="19"/>
        </w:rPr>
      </w:pPr>
      <w:r w:rsidRPr="002B5A73">
        <w:rPr>
          <w:spacing w:val="-6"/>
          <w:sz w:val="19"/>
          <w:szCs w:val="19"/>
          <w:lang w:val="en-US"/>
        </w:rPr>
        <w:t>DEFAR, S</w:t>
      </w:r>
      <w:r w:rsidR="003E5A8E" w:rsidRPr="002B5A73">
        <w:rPr>
          <w:spacing w:val="-6"/>
          <w:sz w:val="19"/>
          <w:szCs w:val="19"/>
          <w:lang w:val="en-US"/>
        </w:rPr>
        <w:t>.</w:t>
      </w:r>
      <w:r w:rsidRPr="002B5A73">
        <w:rPr>
          <w:spacing w:val="-6"/>
          <w:sz w:val="19"/>
          <w:szCs w:val="19"/>
          <w:lang w:val="en-US"/>
        </w:rPr>
        <w:t>; ABRAHAM, Y</w:t>
      </w:r>
      <w:r w:rsidR="003E5A8E" w:rsidRPr="002B5A73">
        <w:rPr>
          <w:spacing w:val="-6"/>
          <w:sz w:val="19"/>
          <w:szCs w:val="19"/>
          <w:lang w:val="en-US"/>
        </w:rPr>
        <w:t>.</w:t>
      </w:r>
      <w:r w:rsidRPr="002B5A73">
        <w:rPr>
          <w:spacing w:val="-6"/>
          <w:sz w:val="19"/>
          <w:szCs w:val="19"/>
          <w:lang w:val="en-US"/>
        </w:rPr>
        <w:t>; RETA, Y</w:t>
      </w:r>
      <w:r w:rsidR="003E5A8E" w:rsidRPr="002B5A73">
        <w:rPr>
          <w:spacing w:val="-6"/>
          <w:sz w:val="19"/>
          <w:szCs w:val="19"/>
          <w:lang w:val="en-US"/>
        </w:rPr>
        <w:t>.</w:t>
      </w:r>
      <w:r w:rsidRPr="002B5A73">
        <w:rPr>
          <w:spacing w:val="-6"/>
          <w:sz w:val="19"/>
          <w:szCs w:val="19"/>
          <w:lang w:val="en-US"/>
        </w:rPr>
        <w:t>; DERIBE, B</w:t>
      </w:r>
      <w:r w:rsidR="003E5A8E" w:rsidRPr="002B5A73">
        <w:rPr>
          <w:spacing w:val="-6"/>
          <w:sz w:val="19"/>
          <w:szCs w:val="19"/>
          <w:lang w:val="en-US"/>
        </w:rPr>
        <w:t>.</w:t>
      </w:r>
      <w:r w:rsidRPr="002B5A73">
        <w:rPr>
          <w:spacing w:val="-6"/>
          <w:sz w:val="19"/>
          <w:szCs w:val="19"/>
          <w:lang w:val="en-US"/>
        </w:rPr>
        <w:t>; JISSO, M</w:t>
      </w:r>
      <w:r w:rsidR="003E5A8E" w:rsidRPr="002B5A73">
        <w:rPr>
          <w:spacing w:val="-6"/>
          <w:sz w:val="19"/>
          <w:szCs w:val="19"/>
          <w:lang w:val="en-US"/>
        </w:rPr>
        <w:t>.</w:t>
      </w:r>
      <w:r w:rsidRPr="002B5A73">
        <w:rPr>
          <w:spacing w:val="-6"/>
          <w:sz w:val="19"/>
          <w:szCs w:val="19"/>
          <w:lang w:val="en-US"/>
        </w:rPr>
        <w:t>; YEHEYIS, T</w:t>
      </w:r>
      <w:r w:rsidR="003E5A8E" w:rsidRPr="002B5A73">
        <w:rPr>
          <w:spacing w:val="-6"/>
          <w:sz w:val="19"/>
          <w:szCs w:val="19"/>
          <w:lang w:val="en-US"/>
        </w:rPr>
        <w:t>.</w:t>
      </w:r>
      <w:r w:rsidRPr="002B5A73">
        <w:rPr>
          <w:spacing w:val="-6"/>
          <w:sz w:val="19"/>
          <w:szCs w:val="19"/>
          <w:lang w:val="en-US"/>
        </w:rPr>
        <w:t>; KEBEDE, K</w:t>
      </w:r>
      <w:r w:rsidR="003E5A8E" w:rsidRPr="002B5A73">
        <w:rPr>
          <w:spacing w:val="-6"/>
          <w:sz w:val="19"/>
          <w:szCs w:val="19"/>
          <w:lang w:val="en-US"/>
        </w:rPr>
        <w:t>.</w:t>
      </w:r>
      <w:r w:rsidRPr="002B5A73">
        <w:rPr>
          <w:spacing w:val="-6"/>
          <w:sz w:val="19"/>
          <w:szCs w:val="19"/>
          <w:lang w:val="en-US"/>
        </w:rPr>
        <w:t xml:space="preserve"> M</w:t>
      </w:r>
      <w:r w:rsidR="003E5A8E" w:rsidRPr="002B5A73">
        <w:rPr>
          <w:spacing w:val="-6"/>
          <w:sz w:val="19"/>
          <w:szCs w:val="19"/>
          <w:lang w:val="en-US"/>
        </w:rPr>
        <w:t>.</w:t>
      </w:r>
      <w:r w:rsidRPr="002B5A73">
        <w:rPr>
          <w:spacing w:val="-6"/>
          <w:sz w:val="19"/>
          <w:szCs w:val="19"/>
          <w:lang w:val="en-US"/>
        </w:rPr>
        <w:t>; BEYENE, B</w:t>
      </w:r>
      <w:r w:rsidR="003E5A8E" w:rsidRPr="002B5A73">
        <w:rPr>
          <w:spacing w:val="-6"/>
          <w:sz w:val="19"/>
          <w:szCs w:val="19"/>
          <w:lang w:val="en-US"/>
        </w:rPr>
        <w:t>.</w:t>
      </w:r>
      <w:r w:rsidRPr="002B5A73">
        <w:rPr>
          <w:spacing w:val="-6"/>
          <w:sz w:val="19"/>
          <w:szCs w:val="19"/>
          <w:lang w:val="en-US"/>
        </w:rPr>
        <w:t xml:space="preserve">; AYALEW, M. </w:t>
      </w:r>
      <w:r w:rsidRPr="00FE7FC4">
        <w:rPr>
          <w:spacing w:val="-6"/>
          <w:sz w:val="19"/>
          <w:szCs w:val="19"/>
          <w:lang w:val="en-US"/>
        </w:rPr>
        <w:t xml:space="preserve">Health related quality of life among people with mental illness: The role of socio-clinical characteristics and level of functional disability. Frontiers in Public Health, Lausanne, v. 11, 2023.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https://doi.org/10.3389/fpubh.2023.1134032. </w:t>
      </w:r>
      <w:r w:rsidRPr="00FE7FC4">
        <w:rPr>
          <w:spacing w:val="-6"/>
          <w:sz w:val="19"/>
          <w:szCs w:val="19"/>
        </w:rPr>
        <w:t xml:space="preserve">Acesso em: 23 de mar. de 2025. </w:t>
      </w:r>
    </w:p>
    <w:p w14:paraId="6A3998AF" w14:textId="77777777" w:rsidR="00FE7FC4" w:rsidRPr="00FE7FC4" w:rsidRDefault="00FE7FC4" w:rsidP="00C82947">
      <w:pPr>
        <w:spacing w:after="60"/>
        <w:ind w:left="284" w:right="40" w:hanging="284"/>
        <w:rPr>
          <w:spacing w:val="-6"/>
          <w:sz w:val="19"/>
          <w:szCs w:val="19"/>
        </w:rPr>
      </w:pPr>
      <w:r w:rsidRPr="00C82947">
        <w:rPr>
          <w:spacing w:val="-6"/>
          <w:sz w:val="19"/>
          <w:szCs w:val="19"/>
          <w:lang w:val="pt-BR"/>
        </w:rPr>
        <w:t xml:space="preserve">DHAKAL, A.; BOBRIN, B. D. </w:t>
      </w:r>
      <w:proofErr w:type="spellStart"/>
      <w:r w:rsidRPr="00C82947">
        <w:rPr>
          <w:spacing w:val="-6"/>
          <w:sz w:val="19"/>
          <w:szCs w:val="19"/>
          <w:lang w:val="pt-BR"/>
        </w:rPr>
        <w:t>Cognitive</w:t>
      </w:r>
      <w:proofErr w:type="spellEnd"/>
      <w:r w:rsidRPr="00C82947">
        <w:rPr>
          <w:spacing w:val="-6"/>
          <w:sz w:val="19"/>
          <w:szCs w:val="19"/>
          <w:lang w:val="pt-BR"/>
        </w:rPr>
        <w:t xml:space="preserve"> </w:t>
      </w:r>
      <w:proofErr w:type="spellStart"/>
      <w:r w:rsidRPr="00C82947">
        <w:rPr>
          <w:spacing w:val="-6"/>
          <w:sz w:val="19"/>
          <w:szCs w:val="19"/>
          <w:lang w:val="pt-BR"/>
        </w:rPr>
        <w:t>deficits</w:t>
      </w:r>
      <w:proofErr w:type="spellEnd"/>
      <w:r w:rsidRPr="00C82947">
        <w:rPr>
          <w:spacing w:val="-6"/>
          <w:sz w:val="19"/>
          <w:szCs w:val="19"/>
          <w:lang w:val="pt-BR"/>
        </w:rPr>
        <w:t xml:space="preserve">. </w:t>
      </w:r>
      <w:r w:rsidRPr="00FE7FC4">
        <w:rPr>
          <w:spacing w:val="-6"/>
          <w:sz w:val="19"/>
          <w:szCs w:val="19"/>
        </w:rPr>
        <w:t>2020. Disponível em:</w:t>
      </w:r>
      <w:hyperlink r:id="rId14">
        <w:r w:rsidRPr="00FE7FC4">
          <w:rPr>
            <w:spacing w:val="-6"/>
            <w:sz w:val="19"/>
            <w:szCs w:val="19"/>
          </w:rPr>
          <w:t xml:space="preserve"> </w:t>
        </w:r>
      </w:hyperlink>
      <w:hyperlink r:id="rId15">
        <w:r w:rsidRPr="00FE7FC4">
          <w:rPr>
            <w:spacing w:val="-6"/>
            <w:sz w:val="19"/>
            <w:szCs w:val="19"/>
          </w:rPr>
          <w:t>https://www.ncbi.nlm.nih.gov/books/NBK559052/</w:t>
        </w:r>
      </w:hyperlink>
      <w:r w:rsidRPr="00FE7FC4">
        <w:rPr>
          <w:spacing w:val="-6"/>
          <w:sz w:val="19"/>
          <w:szCs w:val="19"/>
        </w:rPr>
        <w:t>. Acesso em: 10 mai. 2024.</w:t>
      </w:r>
    </w:p>
    <w:p w14:paraId="1C59D31C" w14:textId="2FD2D364" w:rsidR="00FE7FC4" w:rsidRPr="00FE7FC4" w:rsidRDefault="00FE7FC4" w:rsidP="00C82947">
      <w:pPr>
        <w:spacing w:after="60"/>
        <w:ind w:left="284" w:right="40" w:hanging="284"/>
        <w:rPr>
          <w:spacing w:val="-6"/>
          <w:sz w:val="19"/>
          <w:szCs w:val="19"/>
          <w:lang w:val="en-US"/>
        </w:rPr>
      </w:pPr>
      <w:r w:rsidRPr="00FE7FC4">
        <w:rPr>
          <w:spacing w:val="-6"/>
          <w:sz w:val="19"/>
          <w:szCs w:val="19"/>
        </w:rPr>
        <w:t>ENES, C</w:t>
      </w:r>
      <w:r w:rsidR="00D558CE">
        <w:rPr>
          <w:spacing w:val="-6"/>
          <w:sz w:val="19"/>
          <w:szCs w:val="19"/>
        </w:rPr>
        <w:t>.</w:t>
      </w:r>
      <w:r w:rsidRPr="00FE7FC4">
        <w:rPr>
          <w:spacing w:val="-6"/>
          <w:sz w:val="19"/>
          <w:szCs w:val="19"/>
        </w:rPr>
        <w:t xml:space="preserve"> de L</w:t>
      </w:r>
      <w:r w:rsidR="00D558CE">
        <w:rPr>
          <w:spacing w:val="-6"/>
          <w:sz w:val="19"/>
          <w:szCs w:val="19"/>
        </w:rPr>
        <w:t>.</w:t>
      </w:r>
      <w:r w:rsidRPr="00FE7FC4">
        <w:rPr>
          <w:spacing w:val="-6"/>
          <w:sz w:val="19"/>
          <w:szCs w:val="19"/>
        </w:rPr>
        <w:t>; DE FREITAS, P</w:t>
      </w:r>
      <w:r w:rsidR="00D558CE">
        <w:rPr>
          <w:spacing w:val="-6"/>
          <w:sz w:val="19"/>
          <w:szCs w:val="19"/>
        </w:rPr>
        <w:t>.</w:t>
      </w:r>
      <w:r w:rsidRPr="00FE7FC4">
        <w:rPr>
          <w:spacing w:val="-6"/>
          <w:sz w:val="19"/>
          <w:szCs w:val="19"/>
        </w:rPr>
        <w:t xml:space="preserve"> H</w:t>
      </w:r>
      <w:r w:rsidR="00D558CE">
        <w:rPr>
          <w:spacing w:val="-6"/>
          <w:sz w:val="19"/>
          <w:szCs w:val="19"/>
        </w:rPr>
        <w:t>.</w:t>
      </w:r>
      <w:r w:rsidRPr="00FE7FC4">
        <w:rPr>
          <w:spacing w:val="-6"/>
          <w:sz w:val="19"/>
          <w:szCs w:val="19"/>
        </w:rPr>
        <w:t xml:space="preserve"> B</w:t>
      </w:r>
      <w:r w:rsidR="00D558CE">
        <w:rPr>
          <w:spacing w:val="-6"/>
          <w:sz w:val="19"/>
          <w:szCs w:val="19"/>
        </w:rPr>
        <w:t>.</w:t>
      </w:r>
      <w:r w:rsidRPr="00FE7FC4">
        <w:rPr>
          <w:spacing w:val="-6"/>
          <w:sz w:val="19"/>
          <w:szCs w:val="19"/>
        </w:rPr>
        <w:t>; DUARTE, S</w:t>
      </w:r>
      <w:r w:rsidR="00D558CE">
        <w:rPr>
          <w:spacing w:val="-6"/>
          <w:sz w:val="19"/>
          <w:szCs w:val="19"/>
        </w:rPr>
        <w:t>.</w:t>
      </w:r>
      <w:r w:rsidRPr="00FE7FC4">
        <w:rPr>
          <w:spacing w:val="-6"/>
          <w:sz w:val="19"/>
          <w:szCs w:val="19"/>
        </w:rPr>
        <w:t xml:space="preserve"> J</w:t>
      </w:r>
      <w:r w:rsidR="00D558CE">
        <w:rPr>
          <w:spacing w:val="-6"/>
          <w:sz w:val="19"/>
          <w:szCs w:val="19"/>
        </w:rPr>
        <w:t>.</w:t>
      </w:r>
      <w:r w:rsidRPr="00FE7FC4">
        <w:rPr>
          <w:spacing w:val="-6"/>
          <w:sz w:val="19"/>
          <w:szCs w:val="19"/>
        </w:rPr>
        <w:t xml:space="preserve"> H</w:t>
      </w:r>
      <w:r w:rsidR="00D558CE">
        <w:rPr>
          <w:spacing w:val="-6"/>
          <w:sz w:val="19"/>
          <w:szCs w:val="19"/>
        </w:rPr>
        <w:t>.</w:t>
      </w:r>
      <w:r w:rsidRPr="00FE7FC4">
        <w:rPr>
          <w:spacing w:val="-6"/>
          <w:sz w:val="19"/>
          <w:szCs w:val="19"/>
        </w:rPr>
        <w:t>; CLEMENTINO, M</w:t>
      </w:r>
      <w:r w:rsidR="0023055E">
        <w:rPr>
          <w:spacing w:val="-6"/>
          <w:sz w:val="19"/>
          <w:szCs w:val="19"/>
        </w:rPr>
        <w:t xml:space="preserve">. </w:t>
      </w:r>
      <w:r w:rsidRPr="00FE7FC4">
        <w:rPr>
          <w:spacing w:val="-6"/>
          <w:sz w:val="19"/>
          <w:szCs w:val="19"/>
        </w:rPr>
        <w:t>T</w:t>
      </w:r>
      <w:r w:rsidR="0023055E">
        <w:rPr>
          <w:spacing w:val="-6"/>
          <w:sz w:val="19"/>
          <w:szCs w:val="19"/>
        </w:rPr>
        <w:t xml:space="preserve">. </w:t>
      </w:r>
      <w:r w:rsidRPr="00FE7FC4">
        <w:rPr>
          <w:spacing w:val="-6"/>
          <w:sz w:val="19"/>
          <w:szCs w:val="19"/>
        </w:rPr>
        <w:t>R</w:t>
      </w:r>
      <w:r w:rsidR="0023055E">
        <w:rPr>
          <w:spacing w:val="-6"/>
          <w:sz w:val="19"/>
          <w:szCs w:val="19"/>
        </w:rPr>
        <w:t>.</w:t>
      </w:r>
      <w:r w:rsidRPr="00FE7FC4">
        <w:rPr>
          <w:spacing w:val="-6"/>
          <w:sz w:val="19"/>
          <w:szCs w:val="19"/>
        </w:rPr>
        <w:t>; PACHECO, A</w:t>
      </w:r>
      <w:r w:rsidR="0023055E">
        <w:rPr>
          <w:spacing w:val="-6"/>
          <w:sz w:val="19"/>
          <w:szCs w:val="19"/>
        </w:rPr>
        <w:t>.</w:t>
      </w:r>
      <w:r w:rsidRPr="00FE7FC4">
        <w:rPr>
          <w:spacing w:val="-6"/>
          <w:sz w:val="19"/>
          <w:szCs w:val="19"/>
        </w:rPr>
        <w:t xml:space="preserve"> E</w:t>
      </w:r>
      <w:r w:rsidR="0023055E">
        <w:rPr>
          <w:spacing w:val="-6"/>
          <w:sz w:val="19"/>
          <w:szCs w:val="19"/>
        </w:rPr>
        <w:t>.</w:t>
      </w:r>
      <w:r w:rsidRPr="00FE7FC4">
        <w:rPr>
          <w:spacing w:val="-6"/>
          <w:sz w:val="19"/>
          <w:szCs w:val="19"/>
        </w:rPr>
        <w:t>; MACHADO, R</w:t>
      </w:r>
      <w:r w:rsidR="0023055E">
        <w:rPr>
          <w:spacing w:val="-6"/>
          <w:sz w:val="19"/>
          <w:szCs w:val="19"/>
        </w:rPr>
        <w:t>.</w:t>
      </w:r>
      <w:r w:rsidRPr="00FE7FC4">
        <w:rPr>
          <w:spacing w:val="-6"/>
          <w:sz w:val="19"/>
          <w:szCs w:val="19"/>
        </w:rPr>
        <w:t xml:space="preserve"> M. Predição da adesão ao tratamento e qualidade de vida de pacientes com transtorno bipolar. Revista de Enfermagem do Centro Oeste Mineiro, v. 10, n. 8, 2020. Disponível em: </w:t>
      </w:r>
      <w:r w:rsidR="001D07EB" w:rsidRPr="002F73BA">
        <w:rPr>
          <w:spacing w:val="-6"/>
          <w:sz w:val="19"/>
          <w:szCs w:val="19"/>
          <w:lang w:val="pt-BR"/>
        </w:rPr>
        <w:t>https://doi.org/</w:t>
      </w:r>
      <w:r w:rsidRPr="00FE7FC4">
        <w:rPr>
          <w:spacing w:val="-6"/>
          <w:sz w:val="19"/>
          <w:szCs w:val="19"/>
        </w:rPr>
        <w:t xml:space="preserve">10.19175/recom.v10i0.3489.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6 jun. 2025.</w:t>
      </w:r>
    </w:p>
    <w:p w14:paraId="749436F4" w14:textId="20E806F8" w:rsidR="00FE7FC4" w:rsidRPr="00FE7FC4" w:rsidRDefault="00FE7FC4" w:rsidP="00C82947">
      <w:pPr>
        <w:spacing w:after="60"/>
        <w:ind w:left="284" w:right="40" w:hanging="284"/>
        <w:rPr>
          <w:spacing w:val="-6"/>
          <w:sz w:val="19"/>
          <w:szCs w:val="19"/>
          <w:lang w:val="en-US"/>
        </w:rPr>
      </w:pPr>
      <w:r w:rsidRPr="00FE7FC4">
        <w:rPr>
          <w:spacing w:val="-6"/>
          <w:sz w:val="19"/>
          <w:szCs w:val="19"/>
          <w:lang w:val="en-US"/>
        </w:rPr>
        <w:t>ETAIN, B</w:t>
      </w:r>
      <w:r w:rsidR="0023055E">
        <w:rPr>
          <w:spacing w:val="-6"/>
          <w:sz w:val="19"/>
          <w:szCs w:val="19"/>
          <w:lang w:val="en-US"/>
        </w:rPr>
        <w:t>.</w:t>
      </w:r>
      <w:r w:rsidRPr="00FE7FC4">
        <w:rPr>
          <w:spacing w:val="-6"/>
          <w:sz w:val="19"/>
          <w:szCs w:val="19"/>
          <w:lang w:val="en-US"/>
        </w:rPr>
        <w:t>; MATHIEU, F</w:t>
      </w:r>
      <w:r w:rsidR="0023055E">
        <w:rPr>
          <w:spacing w:val="-6"/>
          <w:sz w:val="19"/>
          <w:szCs w:val="19"/>
          <w:lang w:val="en-US"/>
        </w:rPr>
        <w:t>.</w:t>
      </w:r>
      <w:r w:rsidRPr="00FE7FC4">
        <w:rPr>
          <w:spacing w:val="-6"/>
          <w:sz w:val="19"/>
          <w:szCs w:val="19"/>
          <w:lang w:val="en-US"/>
        </w:rPr>
        <w:t>; HENRY, C</w:t>
      </w:r>
      <w:r w:rsidR="0023055E">
        <w:rPr>
          <w:spacing w:val="-6"/>
          <w:sz w:val="19"/>
          <w:szCs w:val="19"/>
          <w:lang w:val="en-US"/>
        </w:rPr>
        <w:t>.</w:t>
      </w:r>
      <w:r w:rsidRPr="00FE7FC4">
        <w:rPr>
          <w:spacing w:val="-6"/>
          <w:sz w:val="19"/>
          <w:szCs w:val="19"/>
          <w:lang w:val="en-US"/>
        </w:rPr>
        <w:t>; RAUST, A</w:t>
      </w:r>
      <w:r w:rsidR="0023055E">
        <w:rPr>
          <w:spacing w:val="-6"/>
          <w:sz w:val="19"/>
          <w:szCs w:val="19"/>
          <w:lang w:val="en-US"/>
        </w:rPr>
        <w:t>.</w:t>
      </w:r>
      <w:r w:rsidRPr="00FE7FC4">
        <w:rPr>
          <w:spacing w:val="-6"/>
          <w:sz w:val="19"/>
          <w:szCs w:val="19"/>
          <w:lang w:val="en-US"/>
        </w:rPr>
        <w:t>; ROY, I</w:t>
      </w:r>
      <w:r w:rsidR="0023055E">
        <w:rPr>
          <w:spacing w:val="-6"/>
          <w:sz w:val="19"/>
          <w:szCs w:val="19"/>
          <w:lang w:val="en-US"/>
        </w:rPr>
        <w:t>.</w:t>
      </w:r>
      <w:r w:rsidRPr="00FE7FC4">
        <w:rPr>
          <w:spacing w:val="-6"/>
          <w:sz w:val="19"/>
          <w:szCs w:val="19"/>
          <w:lang w:val="en-US"/>
        </w:rPr>
        <w:t>; GERMAIN, A</w:t>
      </w:r>
      <w:r w:rsidR="0023055E">
        <w:rPr>
          <w:spacing w:val="-6"/>
          <w:sz w:val="19"/>
          <w:szCs w:val="19"/>
          <w:lang w:val="en-US"/>
        </w:rPr>
        <w:t>.</w:t>
      </w:r>
      <w:r w:rsidRPr="00FE7FC4">
        <w:rPr>
          <w:spacing w:val="-6"/>
          <w:sz w:val="19"/>
          <w:szCs w:val="19"/>
          <w:lang w:val="en-US"/>
        </w:rPr>
        <w:t>; LEBOYER, M</w:t>
      </w:r>
      <w:r w:rsidR="0023055E">
        <w:rPr>
          <w:spacing w:val="-6"/>
          <w:sz w:val="19"/>
          <w:szCs w:val="19"/>
          <w:lang w:val="en-US"/>
        </w:rPr>
        <w:t>.</w:t>
      </w:r>
      <w:r w:rsidRPr="00FE7FC4">
        <w:rPr>
          <w:spacing w:val="-6"/>
          <w:sz w:val="19"/>
          <w:szCs w:val="19"/>
          <w:lang w:val="en-US"/>
        </w:rPr>
        <w:t xml:space="preserve">; BELLIVIER, F. Preferential association between childhood emotional abuse and bipolar disorder. Journal of Traumatic Stress, v. 23, n. 3, p. 376–383, 2010.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https://doi.org/10.1002/jts.20532.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6 jun. 2025.</w:t>
      </w:r>
    </w:p>
    <w:p w14:paraId="15076F03" w14:textId="28F37349" w:rsidR="00FE7FC4" w:rsidRPr="00FE7FC4" w:rsidRDefault="00FE7FC4" w:rsidP="00C82947">
      <w:pPr>
        <w:spacing w:after="60"/>
        <w:ind w:left="284" w:right="40" w:hanging="284"/>
        <w:rPr>
          <w:spacing w:val="-6"/>
          <w:sz w:val="19"/>
          <w:szCs w:val="19"/>
          <w:lang w:val="pt-BR"/>
        </w:rPr>
      </w:pPr>
      <w:r w:rsidRPr="00FE7FC4">
        <w:rPr>
          <w:spacing w:val="-6"/>
          <w:sz w:val="19"/>
          <w:szCs w:val="19"/>
          <w:lang w:val="en-US"/>
        </w:rPr>
        <w:t>FARAONE, S</w:t>
      </w:r>
      <w:r w:rsidR="0023055E">
        <w:rPr>
          <w:spacing w:val="-6"/>
          <w:sz w:val="19"/>
          <w:szCs w:val="19"/>
          <w:lang w:val="en-US"/>
        </w:rPr>
        <w:t>.</w:t>
      </w:r>
      <w:r w:rsidRPr="00FE7FC4">
        <w:rPr>
          <w:spacing w:val="-6"/>
          <w:sz w:val="19"/>
          <w:szCs w:val="19"/>
          <w:lang w:val="en-US"/>
        </w:rPr>
        <w:t>V.; BANASCHEWSKI, T</w:t>
      </w:r>
      <w:r w:rsidR="0023055E">
        <w:rPr>
          <w:spacing w:val="-6"/>
          <w:sz w:val="19"/>
          <w:szCs w:val="19"/>
          <w:lang w:val="en-US"/>
        </w:rPr>
        <w:t>.</w:t>
      </w:r>
      <w:r w:rsidRPr="00FE7FC4">
        <w:rPr>
          <w:spacing w:val="-6"/>
          <w:sz w:val="19"/>
          <w:szCs w:val="19"/>
          <w:lang w:val="en-US"/>
        </w:rPr>
        <w:t>; COGHILL, D</w:t>
      </w:r>
      <w:r w:rsidR="0023055E">
        <w:rPr>
          <w:spacing w:val="-6"/>
          <w:sz w:val="19"/>
          <w:szCs w:val="19"/>
          <w:lang w:val="en-US"/>
        </w:rPr>
        <w:t>.</w:t>
      </w:r>
      <w:r w:rsidRPr="00FE7FC4">
        <w:rPr>
          <w:spacing w:val="-6"/>
          <w:sz w:val="19"/>
          <w:szCs w:val="19"/>
          <w:lang w:val="en-US"/>
        </w:rPr>
        <w:t>; ZHENG, Y; BIEDERMAN, J</w:t>
      </w:r>
      <w:r w:rsidR="0023055E">
        <w:rPr>
          <w:spacing w:val="-6"/>
          <w:sz w:val="19"/>
          <w:szCs w:val="19"/>
          <w:lang w:val="en-US"/>
        </w:rPr>
        <w:t>.</w:t>
      </w:r>
      <w:r w:rsidRPr="00FE7FC4">
        <w:rPr>
          <w:spacing w:val="-6"/>
          <w:sz w:val="19"/>
          <w:szCs w:val="19"/>
          <w:lang w:val="en-US"/>
        </w:rPr>
        <w:t>; BELLGROVE, M</w:t>
      </w:r>
      <w:r w:rsidR="0023055E">
        <w:rPr>
          <w:spacing w:val="-6"/>
          <w:sz w:val="19"/>
          <w:szCs w:val="19"/>
          <w:lang w:val="en-US"/>
        </w:rPr>
        <w:t>.</w:t>
      </w:r>
      <w:r w:rsidRPr="00FE7FC4">
        <w:rPr>
          <w:spacing w:val="-6"/>
          <w:sz w:val="19"/>
          <w:szCs w:val="19"/>
          <w:lang w:val="en-US"/>
        </w:rPr>
        <w:t xml:space="preserve"> A. et al. The world federation of ADHD international consensus statement: 208 evidence-based conclusions about the disorder. </w:t>
      </w:r>
      <w:proofErr w:type="spellStart"/>
      <w:r w:rsidRPr="00FE7FC4">
        <w:rPr>
          <w:spacing w:val="-6"/>
          <w:sz w:val="19"/>
          <w:szCs w:val="19"/>
          <w:lang w:val="pt-BR"/>
        </w:rPr>
        <w:t>Neuroscience</w:t>
      </w:r>
      <w:proofErr w:type="spellEnd"/>
      <w:r w:rsidRPr="00FE7FC4">
        <w:rPr>
          <w:spacing w:val="-6"/>
          <w:sz w:val="19"/>
          <w:szCs w:val="19"/>
          <w:lang w:val="pt-BR"/>
        </w:rPr>
        <w:t xml:space="preserve"> &amp; </w:t>
      </w:r>
      <w:proofErr w:type="spellStart"/>
      <w:r w:rsidRPr="00FE7FC4">
        <w:rPr>
          <w:spacing w:val="-6"/>
          <w:sz w:val="19"/>
          <w:szCs w:val="19"/>
          <w:lang w:val="pt-BR"/>
        </w:rPr>
        <w:t>Biobehavioral</w:t>
      </w:r>
      <w:proofErr w:type="spellEnd"/>
      <w:r w:rsidRPr="00FE7FC4">
        <w:rPr>
          <w:spacing w:val="-6"/>
          <w:sz w:val="19"/>
          <w:szCs w:val="19"/>
          <w:lang w:val="pt-BR"/>
        </w:rPr>
        <w:t xml:space="preserve"> Reviews, v. 128, p. 789-818, 2021. Disponível em:</w:t>
      </w:r>
      <w:hyperlink r:id="rId16">
        <w:r w:rsidRPr="00FE7FC4">
          <w:rPr>
            <w:spacing w:val="-6"/>
            <w:sz w:val="19"/>
            <w:szCs w:val="19"/>
            <w:lang w:val="pt-BR"/>
          </w:rPr>
          <w:t xml:space="preserve"> </w:t>
        </w:r>
      </w:hyperlink>
      <w:r w:rsidR="007F5489" w:rsidRPr="002F73BA">
        <w:rPr>
          <w:spacing w:val="-6"/>
          <w:sz w:val="19"/>
          <w:szCs w:val="19"/>
          <w:lang w:val="pt-BR"/>
        </w:rPr>
        <w:t xml:space="preserve"> https://doi.org/</w:t>
      </w:r>
      <w:hyperlink r:id="rId17">
        <w:r w:rsidRPr="00FE7FC4">
          <w:rPr>
            <w:spacing w:val="-6"/>
            <w:sz w:val="19"/>
            <w:szCs w:val="19"/>
            <w:lang w:val="pt-BR"/>
          </w:rPr>
          <w:t>10.1016/j.neubiorev.2021.01.022</w:t>
        </w:r>
      </w:hyperlink>
      <w:r w:rsidRPr="00FE7FC4">
        <w:rPr>
          <w:spacing w:val="-6"/>
          <w:sz w:val="19"/>
          <w:szCs w:val="19"/>
          <w:lang w:val="pt-BR"/>
        </w:rPr>
        <w:t>. Acesso em: 6 jun. 2025.</w:t>
      </w:r>
    </w:p>
    <w:p w14:paraId="3613E1CB" w14:textId="7DCB8BEA" w:rsidR="00FE7FC4" w:rsidRPr="00FE7FC4" w:rsidRDefault="00FE7FC4" w:rsidP="00C82947">
      <w:pPr>
        <w:spacing w:after="60"/>
        <w:ind w:left="284" w:right="40" w:hanging="284"/>
        <w:rPr>
          <w:color w:val="FF0000"/>
          <w:spacing w:val="-6"/>
          <w:sz w:val="19"/>
          <w:szCs w:val="19"/>
          <w:lang w:val="pt-BR"/>
        </w:rPr>
      </w:pPr>
      <w:r w:rsidRPr="00FE7FC4">
        <w:rPr>
          <w:spacing w:val="-6"/>
          <w:sz w:val="19"/>
          <w:szCs w:val="19"/>
          <w:lang w:val="en-US"/>
        </w:rPr>
        <w:t xml:space="preserve">FOUNTOULAKIS, K. N.; TOHEN, M.; ZARATE, C. A. Lithium treatment of </w:t>
      </w:r>
      <w:proofErr w:type="gramStart"/>
      <w:r w:rsidRPr="00FE7FC4">
        <w:rPr>
          <w:spacing w:val="-6"/>
          <w:sz w:val="19"/>
          <w:szCs w:val="19"/>
          <w:lang w:val="en-US"/>
        </w:rPr>
        <w:t>Bipolar disorder</w:t>
      </w:r>
      <w:proofErr w:type="gramEnd"/>
      <w:r w:rsidRPr="00FE7FC4">
        <w:rPr>
          <w:spacing w:val="-6"/>
          <w:sz w:val="19"/>
          <w:szCs w:val="19"/>
          <w:lang w:val="en-US"/>
        </w:rPr>
        <w:t xml:space="preserve"> in adults: A systematic review of randomized trials and meta-analyses. </w:t>
      </w:r>
      <w:proofErr w:type="spellStart"/>
      <w:r w:rsidRPr="00FE7FC4">
        <w:rPr>
          <w:spacing w:val="-6"/>
          <w:sz w:val="19"/>
          <w:szCs w:val="19"/>
          <w:lang w:val="pt-BR"/>
        </w:rPr>
        <w:t>Eur</w:t>
      </w:r>
      <w:proofErr w:type="spellEnd"/>
      <w:r w:rsidRPr="00FE7FC4">
        <w:rPr>
          <w:spacing w:val="-6"/>
          <w:sz w:val="19"/>
          <w:szCs w:val="19"/>
          <w:lang w:val="pt-BR"/>
        </w:rPr>
        <w:t xml:space="preserve"> </w:t>
      </w:r>
      <w:proofErr w:type="spellStart"/>
      <w:r w:rsidRPr="00FE7FC4">
        <w:rPr>
          <w:spacing w:val="-6"/>
          <w:sz w:val="19"/>
          <w:szCs w:val="19"/>
          <w:lang w:val="pt-BR"/>
        </w:rPr>
        <w:t>Neuropsychopharmacol</w:t>
      </w:r>
      <w:proofErr w:type="spellEnd"/>
      <w:r w:rsidRPr="00FE7FC4">
        <w:rPr>
          <w:spacing w:val="-6"/>
          <w:sz w:val="19"/>
          <w:szCs w:val="19"/>
          <w:lang w:val="pt-BR"/>
        </w:rPr>
        <w:t>, v. 54</w:t>
      </w:r>
      <w:r w:rsidR="007F5489">
        <w:rPr>
          <w:spacing w:val="-6"/>
          <w:sz w:val="19"/>
          <w:szCs w:val="19"/>
          <w:lang w:val="pt-BR"/>
        </w:rPr>
        <w:t>, p.</w:t>
      </w:r>
      <w:r w:rsidR="003300E5">
        <w:rPr>
          <w:spacing w:val="-6"/>
          <w:sz w:val="19"/>
          <w:szCs w:val="19"/>
          <w:lang w:val="pt-BR"/>
        </w:rPr>
        <w:t xml:space="preserve"> </w:t>
      </w:r>
      <w:r w:rsidRPr="00FE7FC4">
        <w:rPr>
          <w:spacing w:val="-6"/>
          <w:sz w:val="19"/>
          <w:szCs w:val="19"/>
          <w:lang w:val="pt-BR"/>
        </w:rPr>
        <w:t>100-115, 2022. Disponível em:</w:t>
      </w:r>
      <w:hyperlink r:id="rId18">
        <w:r w:rsidRPr="00FE7FC4">
          <w:rPr>
            <w:spacing w:val="-6"/>
            <w:sz w:val="19"/>
            <w:szCs w:val="19"/>
            <w:lang w:val="pt-BR"/>
          </w:rPr>
          <w:t xml:space="preserve"> </w:t>
        </w:r>
      </w:hyperlink>
      <w:hyperlink r:id="rId19">
        <w:r w:rsidRPr="00FE7FC4">
          <w:rPr>
            <w:spacing w:val="-6"/>
            <w:sz w:val="19"/>
            <w:szCs w:val="19"/>
            <w:lang w:val="pt-BR"/>
          </w:rPr>
          <w:t>10.1016/j.euroneuro.2021.10.003</w:t>
        </w:r>
      </w:hyperlink>
      <w:r w:rsidRPr="00FE7FC4">
        <w:rPr>
          <w:spacing w:val="-6"/>
          <w:sz w:val="19"/>
          <w:szCs w:val="19"/>
          <w:lang w:val="pt-BR"/>
        </w:rPr>
        <w:t>. Acesso em: 6 jun. 2025.</w:t>
      </w:r>
    </w:p>
    <w:p w14:paraId="668A54E8" w14:textId="5BF0B6CE" w:rsidR="00FE7FC4" w:rsidRPr="00FE7FC4" w:rsidRDefault="00FE7FC4" w:rsidP="00C82947">
      <w:pPr>
        <w:spacing w:after="60"/>
        <w:ind w:left="284" w:right="40" w:hanging="284"/>
        <w:rPr>
          <w:color w:val="FF0000"/>
          <w:spacing w:val="-6"/>
          <w:sz w:val="19"/>
          <w:szCs w:val="19"/>
          <w:lang w:val="pt-BR"/>
        </w:rPr>
      </w:pPr>
      <w:r w:rsidRPr="00FE7FC4">
        <w:rPr>
          <w:spacing w:val="-6"/>
          <w:sz w:val="19"/>
          <w:szCs w:val="19"/>
          <w:lang w:val="en-US"/>
        </w:rPr>
        <w:t xml:space="preserve">FRANK-BRIGGS, A. I. Attention deficit hyperactivity disorder (ADHD). </w:t>
      </w:r>
      <w:proofErr w:type="spellStart"/>
      <w:r w:rsidRPr="00FE7FC4">
        <w:rPr>
          <w:spacing w:val="-6"/>
          <w:sz w:val="19"/>
          <w:szCs w:val="19"/>
          <w:lang w:val="pt-BR"/>
        </w:rPr>
        <w:t>Journal</w:t>
      </w:r>
      <w:proofErr w:type="spellEnd"/>
      <w:r w:rsidRPr="00FE7FC4">
        <w:rPr>
          <w:spacing w:val="-6"/>
          <w:sz w:val="19"/>
          <w:szCs w:val="19"/>
          <w:lang w:val="pt-BR"/>
        </w:rPr>
        <w:t xml:space="preserve"> </w:t>
      </w:r>
      <w:proofErr w:type="spellStart"/>
      <w:r w:rsidRPr="00FE7FC4">
        <w:rPr>
          <w:spacing w:val="-6"/>
          <w:sz w:val="19"/>
          <w:szCs w:val="19"/>
          <w:lang w:val="pt-BR"/>
        </w:rPr>
        <w:t>of</w:t>
      </w:r>
      <w:proofErr w:type="spellEnd"/>
      <w:r w:rsidRPr="00FE7FC4">
        <w:rPr>
          <w:spacing w:val="-6"/>
          <w:sz w:val="19"/>
          <w:szCs w:val="19"/>
          <w:lang w:val="pt-BR"/>
        </w:rPr>
        <w:t xml:space="preserve"> </w:t>
      </w:r>
      <w:proofErr w:type="spellStart"/>
      <w:r w:rsidRPr="00FE7FC4">
        <w:rPr>
          <w:spacing w:val="-6"/>
          <w:sz w:val="19"/>
          <w:szCs w:val="19"/>
          <w:lang w:val="pt-BR"/>
        </w:rPr>
        <w:t>Pediatric</w:t>
      </w:r>
      <w:proofErr w:type="spellEnd"/>
      <w:r w:rsidRPr="00FE7FC4">
        <w:rPr>
          <w:spacing w:val="-6"/>
          <w:sz w:val="19"/>
          <w:szCs w:val="19"/>
          <w:lang w:val="pt-BR"/>
        </w:rPr>
        <w:t xml:space="preserve"> </w:t>
      </w:r>
      <w:proofErr w:type="spellStart"/>
      <w:r w:rsidRPr="00FE7FC4">
        <w:rPr>
          <w:spacing w:val="-6"/>
          <w:sz w:val="19"/>
          <w:szCs w:val="19"/>
          <w:lang w:val="pt-BR"/>
        </w:rPr>
        <w:t>Neurology</w:t>
      </w:r>
      <w:proofErr w:type="spellEnd"/>
      <w:r w:rsidRPr="00FE7FC4">
        <w:rPr>
          <w:spacing w:val="-6"/>
          <w:sz w:val="19"/>
          <w:szCs w:val="19"/>
          <w:lang w:val="pt-BR"/>
        </w:rPr>
        <w:t>, v. 9, n. 03, p. 291-298, 2011. Disponível em:</w:t>
      </w:r>
      <w:hyperlink r:id="rId20">
        <w:r w:rsidRPr="00FE7FC4">
          <w:rPr>
            <w:spacing w:val="-6"/>
            <w:sz w:val="19"/>
            <w:szCs w:val="19"/>
            <w:lang w:val="pt-BR"/>
          </w:rPr>
          <w:t xml:space="preserve"> </w:t>
        </w:r>
      </w:hyperlink>
      <w:r w:rsidR="003300E5" w:rsidRPr="002F73BA">
        <w:rPr>
          <w:spacing w:val="-6"/>
          <w:sz w:val="19"/>
          <w:szCs w:val="19"/>
          <w:lang w:val="pt-BR"/>
        </w:rPr>
        <w:t xml:space="preserve"> https://doi.org/</w:t>
      </w:r>
      <w:hyperlink r:id="rId21">
        <w:r w:rsidRPr="00FE7FC4">
          <w:rPr>
            <w:spacing w:val="-6"/>
            <w:sz w:val="19"/>
            <w:szCs w:val="19"/>
            <w:lang w:val="pt-BR"/>
          </w:rPr>
          <w:t>10.3233/JPN-2011-0494</w:t>
        </w:r>
      </w:hyperlink>
      <w:r w:rsidRPr="00FE7FC4">
        <w:rPr>
          <w:spacing w:val="-6"/>
          <w:sz w:val="19"/>
          <w:szCs w:val="19"/>
        </w:rPr>
        <w:t>. Acesso em: 6 jun. 2025.</w:t>
      </w:r>
    </w:p>
    <w:p w14:paraId="5CCAC16A" w14:textId="11B5F99E" w:rsidR="00FE7FC4" w:rsidRPr="002F73BA" w:rsidRDefault="00FE7FC4" w:rsidP="00C82947">
      <w:pPr>
        <w:spacing w:after="60"/>
        <w:ind w:left="284" w:right="40" w:hanging="284"/>
        <w:rPr>
          <w:spacing w:val="-6"/>
          <w:sz w:val="19"/>
          <w:szCs w:val="19"/>
          <w:lang w:val="en-US"/>
        </w:rPr>
      </w:pPr>
      <w:r w:rsidRPr="00FE7FC4">
        <w:rPr>
          <w:spacing w:val="-6"/>
          <w:sz w:val="19"/>
          <w:szCs w:val="19"/>
          <w:lang w:val="en-US"/>
        </w:rPr>
        <w:t>GAUTAM, S</w:t>
      </w:r>
      <w:r w:rsidR="0023055E">
        <w:rPr>
          <w:spacing w:val="-6"/>
          <w:sz w:val="19"/>
          <w:szCs w:val="19"/>
          <w:lang w:val="en-US"/>
        </w:rPr>
        <w:t>.</w:t>
      </w:r>
      <w:r w:rsidRPr="00FE7FC4">
        <w:rPr>
          <w:spacing w:val="-6"/>
          <w:sz w:val="19"/>
          <w:szCs w:val="19"/>
          <w:lang w:val="en-US"/>
        </w:rPr>
        <w:t>; JAIN, A</w:t>
      </w:r>
      <w:r w:rsidR="0023055E">
        <w:rPr>
          <w:spacing w:val="-6"/>
          <w:sz w:val="19"/>
          <w:szCs w:val="19"/>
          <w:lang w:val="en-US"/>
        </w:rPr>
        <w:t>.</w:t>
      </w:r>
      <w:r w:rsidRPr="00FE7FC4">
        <w:rPr>
          <w:spacing w:val="-6"/>
          <w:sz w:val="19"/>
          <w:szCs w:val="19"/>
          <w:lang w:val="en-US"/>
        </w:rPr>
        <w:t>; CHAUDHARY, J</w:t>
      </w:r>
      <w:r w:rsidR="0023055E">
        <w:rPr>
          <w:spacing w:val="-6"/>
          <w:sz w:val="19"/>
          <w:szCs w:val="19"/>
          <w:lang w:val="en-US"/>
        </w:rPr>
        <w:t>.</w:t>
      </w:r>
      <w:r w:rsidRPr="00FE7FC4">
        <w:rPr>
          <w:spacing w:val="-6"/>
          <w:sz w:val="19"/>
          <w:szCs w:val="19"/>
          <w:lang w:val="en-US"/>
        </w:rPr>
        <w:t>; GAUTAM, M</w:t>
      </w:r>
      <w:r w:rsidR="0023055E">
        <w:rPr>
          <w:spacing w:val="-6"/>
          <w:sz w:val="19"/>
          <w:szCs w:val="19"/>
          <w:lang w:val="en-US"/>
        </w:rPr>
        <w:t>.</w:t>
      </w:r>
      <w:r w:rsidRPr="00FE7FC4">
        <w:rPr>
          <w:spacing w:val="-6"/>
          <w:sz w:val="19"/>
          <w:szCs w:val="19"/>
          <w:lang w:val="en-US"/>
        </w:rPr>
        <w:t>; GAUR, M</w:t>
      </w:r>
      <w:r w:rsidR="0023055E">
        <w:rPr>
          <w:spacing w:val="-6"/>
          <w:sz w:val="19"/>
          <w:szCs w:val="19"/>
          <w:lang w:val="en-US"/>
        </w:rPr>
        <w:t>.</w:t>
      </w:r>
      <w:r w:rsidRPr="00FE7FC4">
        <w:rPr>
          <w:spacing w:val="-6"/>
          <w:sz w:val="19"/>
          <w:szCs w:val="19"/>
          <w:lang w:val="en-US"/>
        </w:rPr>
        <w:t xml:space="preserve">; GROVER, S. Concept of mental health and mental well-being, its determinants and coping strategies. Indian Journal of Psychiatry, v. 66, </w:t>
      </w:r>
      <w:proofErr w:type="spellStart"/>
      <w:r w:rsidRPr="00FE7FC4">
        <w:rPr>
          <w:spacing w:val="-6"/>
          <w:sz w:val="19"/>
          <w:szCs w:val="19"/>
          <w:lang w:val="en-US"/>
        </w:rPr>
        <w:t>supl</w:t>
      </w:r>
      <w:proofErr w:type="spellEnd"/>
      <w:r w:rsidRPr="00FE7FC4">
        <w:rPr>
          <w:spacing w:val="-6"/>
          <w:sz w:val="19"/>
          <w:szCs w:val="19"/>
          <w:lang w:val="en-US"/>
        </w:rPr>
        <w:t xml:space="preserve">. 2, p. S231–S244, 2024. </w:t>
      </w:r>
      <w:r w:rsidRPr="002F73BA">
        <w:rPr>
          <w:spacing w:val="-6"/>
          <w:sz w:val="19"/>
          <w:szCs w:val="19"/>
          <w:lang w:val="en-US"/>
        </w:rPr>
        <w:t>Disponível em: https://doi.org/10.4103/indianjpsychiatry.indianjpsychiatry_707_23. Acesso em: 6 jun. 2025.</w:t>
      </w:r>
    </w:p>
    <w:p w14:paraId="43B0B68A" w14:textId="6CC000F6" w:rsidR="00FE7FC4" w:rsidRPr="00FE7FC4" w:rsidRDefault="00FE7FC4" w:rsidP="00C82947">
      <w:pPr>
        <w:spacing w:after="60"/>
        <w:ind w:left="284" w:right="40" w:hanging="284"/>
        <w:rPr>
          <w:color w:val="FF0000"/>
          <w:spacing w:val="-6"/>
          <w:sz w:val="19"/>
          <w:szCs w:val="19"/>
          <w:lang w:val="pt-BR"/>
        </w:rPr>
      </w:pPr>
      <w:r w:rsidRPr="00FE7FC4">
        <w:rPr>
          <w:spacing w:val="-6"/>
          <w:sz w:val="19"/>
          <w:szCs w:val="19"/>
          <w:lang w:val="en-US"/>
        </w:rPr>
        <w:t>GNANAVEL, S</w:t>
      </w:r>
      <w:r w:rsidR="0023055E">
        <w:rPr>
          <w:spacing w:val="-6"/>
          <w:sz w:val="19"/>
          <w:szCs w:val="19"/>
          <w:lang w:val="en-US"/>
        </w:rPr>
        <w:t>.</w:t>
      </w:r>
      <w:r w:rsidRPr="00FE7FC4">
        <w:rPr>
          <w:spacing w:val="-6"/>
          <w:sz w:val="19"/>
          <w:szCs w:val="19"/>
          <w:lang w:val="en-US"/>
        </w:rPr>
        <w:t>; SHARMA, P</w:t>
      </w:r>
      <w:r w:rsidR="0023055E">
        <w:rPr>
          <w:spacing w:val="-6"/>
          <w:sz w:val="19"/>
          <w:szCs w:val="19"/>
          <w:lang w:val="en-US"/>
        </w:rPr>
        <w:t>.</w:t>
      </w:r>
      <w:r w:rsidRPr="00FE7FC4">
        <w:rPr>
          <w:spacing w:val="-6"/>
          <w:sz w:val="19"/>
          <w:szCs w:val="19"/>
          <w:lang w:val="en-US"/>
        </w:rPr>
        <w:t>; KAUSHAL, P</w:t>
      </w:r>
      <w:r w:rsidR="0023055E">
        <w:rPr>
          <w:spacing w:val="-6"/>
          <w:sz w:val="19"/>
          <w:szCs w:val="19"/>
          <w:lang w:val="en-US"/>
        </w:rPr>
        <w:t>.</w:t>
      </w:r>
      <w:r w:rsidRPr="00FE7FC4">
        <w:rPr>
          <w:spacing w:val="-6"/>
          <w:sz w:val="19"/>
          <w:szCs w:val="19"/>
          <w:lang w:val="en-US"/>
        </w:rPr>
        <w:t xml:space="preserve">; HUSSAIN, S. Attention deficit hyperactivity disorder and comorbidity: A review of literature. World Journal of Clinical Cases, Pleasanton, v. 7, n. 17, p. 2420–2426, 2019. </w:t>
      </w:r>
      <w:proofErr w:type="spellStart"/>
      <w:r w:rsidRPr="00791976">
        <w:rPr>
          <w:spacing w:val="-6"/>
          <w:sz w:val="19"/>
          <w:szCs w:val="19"/>
          <w:lang w:val="en-US"/>
        </w:rPr>
        <w:t>Disponível</w:t>
      </w:r>
      <w:proofErr w:type="spellEnd"/>
      <w:r w:rsidRPr="00791976">
        <w:rPr>
          <w:spacing w:val="-6"/>
          <w:sz w:val="19"/>
          <w:szCs w:val="19"/>
          <w:lang w:val="en-US"/>
        </w:rPr>
        <w:t xml:space="preserve"> </w:t>
      </w:r>
      <w:proofErr w:type="spellStart"/>
      <w:r w:rsidRPr="00791976">
        <w:rPr>
          <w:spacing w:val="-6"/>
          <w:sz w:val="19"/>
          <w:szCs w:val="19"/>
          <w:lang w:val="en-US"/>
        </w:rPr>
        <w:t>em</w:t>
      </w:r>
      <w:proofErr w:type="spellEnd"/>
      <w:r w:rsidRPr="00791976">
        <w:rPr>
          <w:spacing w:val="-6"/>
          <w:sz w:val="19"/>
          <w:szCs w:val="19"/>
          <w:lang w:val="en-US"/>
        </w:rPr>
        <w:t>:</w:t>
      </w:r>
      <w:hyperlink r:id="rId22">
        <w:r w:rsidRPr="00791976">
          <w:rPr>
            <w:spacing w:val="-6"/>
            <w:sz w:val="19"/>
            <w:szCs w:val="19"/>
            <w:lang w:val="en-US"/>
          </w:rPr>
          <w:t xml:space="preserve"> </w:t>
        </w:r>
      </w:hyperlink>
      <w:r w:rsidR="003300E5" w:rsidRPr="003300E5">
        <w:rPr>
          <w:spacing w:val="-6"/>
          <w:sz w:val="19"/>
          <w:szCs w:val="19"/>
          <w:lang w:val="en-US"/>
        </w:rPr>
        <w:t xml:space="preserve"> </w:t>
      </w:r>
      <w:r w:rsidR="003300E5" w:rsidRPr="00FE7FC4">
        <w:rPr>
          <w:spacing w:val="-6"/>
          <w:sz w:val="19"/>
          <w:szCs w:val="19"/>
          <w:lang w:val="en-US"/>
        </w:rPr>
        <w:t>https://doi.org/</w:t>
      </w:r>
      <w:hyperlink r:id="rId23">
        <w:r w:rsidRPr="00791976">
          <w:rPr>
            <w:spacing w:val="-6"/>
            <w:sz w:val="19"/>
            <w:szCs w:val="19"/>
            <w:lang w:val="en-US"/>
          </w:rPr>
          <w:t>10.12998/wjcc.v7.i17.2420</w:t>
        </w:r>
      </w:hyperlink>
      <w:r w:rsidRPr="00791976">
        <w:rPr>
          <w:spacing w:val="-6"/>
          <w:sz w:val="19"/>
          <w:szCs w:val="19"/>
          <w:lang w:val="en-US"/>
        </w:rPr>
        <w:t xml:space="preserve">. </w:t>
      </w:r>
      <w:r w:rsidRPr="00FE7FC4">
        <w:rPr>
          <w:spacing w:val="-6"/>
          <w:sz w:val="19"/>
          <w:szCs w:val="19"/>
        </w:rPr>
        <w:t>Acesso em: 6 jun. 2025</w:t>
      </w:r>
    </w:p>
    <w:p w14:paraId="5453AC7A" w14:textId="089FEC27" w:rsidR="00FE7FC4" w:rsidRPr="002F73BA" w:rsidRDefault="00FE7FC4" w:rsidP="00C82947">
      <w:pPr>
        <w:spacing w:after="60"/>
        <w:ind w:left="284" w:right="40" w:hanging="284"/>
        <w:rPr>
          <w:color w:val="FF0000"/>
          <w:spacing w:val="-6"/>
          <w:sz w:val="19"/>
          <w:szCs w:val="19"/>
          <w:lang w:val="en-US"/>
        </w:rPr>
      </w:pPr>
      <w:r w:rsidRPr="00FE7FC4">
        <w:rPr>
          <w:spacing w:val="-6"/>
          <w:sz w:val="19"/>
          <w:szCs w:val="19"/>
        </w:rPr>
        <w:t>GRASSI-OLIVEIRA, R</w:t>
      </w:r>
      <w:r w:rsidR="00791976">
        <w:rPr>
          <w:spacing w:val="-6"/>
          <w:sz w:val="19"/>
          <w:szCs w:val="19"/>
        </w:rPr>
        <w:t>.</w:t>
      </w:r>
      <w:r w:rsidRPr="00FE7FC4">
        <w:rPr>
          <w:spacing w:val="-6"/>
          <w:sz w:val="19"/>
          <w:szCs w:val="19"/>
        </w:rPr>
        <w:t>; BRIEZTKE, E</w:t>
      </w:r>
      <w:r w:rsidR="00791976">
        <w:rPr>
          <w:spacing w:val="-6"/>
          <w:sz w:val="19"/>
          <w:szCs w:val="19"/>
        </w:rPr>
        <w:t>.</w:t>
      </w:r>
      <w:r w:rsidRPr="00FE7FC4">
        <w:rPr>
          <w:spacing w:val="-6"/>
          <w:sz w:val="19"/>
          <w:szCs w:val="19"/>
        </w:rPr>
        <w:t>; TEIXEIRA, A</w:t>
      </w:r>
      <w:r w:rsidR="00791976">
        <w:rPr>
          <w:spacing w:val="-6"/>
          <w:sz w:val="19"/>
          <w:szCs w:val="19"/>
        </w:rPr>
        <w:t>.</w:t>
      </w:r>
      <w:r w:rsidRPr="00FE7FC4">
        <w:rPr>
          <w:spacing w:val="-6"/>
          <w:sz w:val="19"/>
          <w:szCs w:val="19"/>
        </w:rPr>
        <w:t>; PEZZI, J</w:t>
      </w:r>
      <w:r w:rsidR="00791976">
        <w:rPr>
          <w:spacing w:val="-6"/>
          <w:sz w:val="19"/>
          <w:szCs w:val="19"/>
        </w:rPr>
        <w:t>.</w:t>
      </w:r>
      <w:r w:rsidRPr="00FE7FC4">
        <w:rPr>
          <w:spacing w:val="-6"/>
          <w:sz w:val="19"/>
          <w:szCs w:val="19"/>
        </w:rPr>
        <w:t xml:space="preserve"> C</w:t>
      </w:r>
      <w:r w:rsidR="00791976">
        <w:rPr>
          <w:spacing w:val="-6"/>
          <w:sz w:val="19"/>
          <w:szCs w:val="19"/>
        </w:rPr>
        <w:t>.</w:t>
      </w:r>
      <w:r w:rsidRPr="00FE7FC4">
        <w:rPr>
          <w:spacing w:val="-6"/>
          <w:sz w:val="19"/>
          <w:szCs w:val="19"/>
        </w:rPr>
        <w:t>; ZANINI, M</w:t>
      </w:r>
      <w:r w:rsidR="00791976">
        <w:rPr>
          <w:spacing w:val="-6"/>
          <w:sz w:val="19"/>
          <w:szCs w:val="19"/>
        </w:rPr>
        <w:t>.</w:t>
      </w:r>
      <w:r w:rsidRPr="00FE7FC4">
        <w:rPr>
          <w:spacing w:val="-6"/>
          <w:sz w:val="19"/>
          <w:szCs w:val="19"/>
        </w:rPr>
        <w:t>; LOPES, R</w:t>
      </w:r>
      <w:r w:rsidR="00791976">
        <w:rPr>
          <w:spacing w:val="-6"/>
          <w:sz w:val="19"/>
          <w:szCs w:val="19"/>
        </w:rPr>
        <w:t>.</w:t>
      </w:r>
      <w:r w:rsidRPr="00FE7FC4">
        <w:rPr>
          <w:spacing w:val="-6"/>
          <w:sz w:val="19"/>
          <w:szCs w:val="19"/>
        </w:rPr>
        <w:t xml:space="preserve"> P</w:t>
      </w:r>
      <w:r w:rsidR="00791976">
        <w:rPr>
          <w:spacing w:val="-6"/>
          <w:sz w:val="19"/>
          <w:szCs w:val="19"/>
        </w:rPr>
        <w:t>.</w:t>
      </w:r>
      <w:r w:rsidRPr="00FE7FC4">
        <w:rPr>
          <w:spacing w:val="-6"/>
          <w:sz w:val="19"/>
          <w:szCs w:val="19"/>
        </w:rPr>
        <w:t>; BAUER, M</w:t>
      </w:r>
      <w:r w:rsidR="00791976">
        <w:rPr>
          <w:spacing w:val="-6"/>
          <w:sz w:val="19"/>
          <w:szCs w:val="19"/>
        </w:rPr>
        <w:t>.</w:t>
      </w:r>
      <w:r w:rsidRPr="00FE7FC4">
        <w:rPr>
          <w:spacing w:val="-6"/>
          <w:sz w:val="19"/>
          <w:szCs w:val="19"/>
        </w:rPr>
        <w:t xml:space="preserve"> E. Níveis periféricos de quimiocina em mulheres com depressão maior recorrente com ideação suicida. Revista Brasileira de Psiquiatria, São Paulo, v. 34, n. 1, p. 71–75, 2012. Disponível em: https://doi.org/10.1590/S1516-44462012000100013. </w:t>
      </w:r>
      <w:r w:rsidRPr="002F73BA">
        <w:rPr>
          <w:spacing w:val="-6"/>
          <w:sz w:val="19"/>
          <w:szCs w:val="19"/>
          <w:lang w:val="en-US"/>
        </w:rPr>
        <w:t>Acesso em: 6 jun. 2025.</w:t>
      </w:r>
    </w:p>
    <w:p w14:paraId="64615976" w14:textId="77777777" w:rsidR="00FE7FC4" w:rsidRPr="00FE7FC4" w:rsidRDefault="00FE7FC4" w:rsidP="00C82947">
      <w:pPr>
        <w:spacing w:after="60"/>
        <w:ind w:left="284" w:right="40" w:hanging="284"/>
        <w:rPr>
          <w:spacing w:val="-6"/>
          <w:sz w:val="19"/>
          <w:szCs w:val="19"/>
          <w:lang w:val="en-US"/>
        </w:rPr>
      </w:pPr>
      <w:r w:rsidRPr="002F73BA">
        <w:rPr>
          <w:spacing w:val="-6"/>
          <w:sz w:val="19"/>
          <w:szCs w:val="19"/>
          <w:lang w:val="en-US"/>
        </w:rPr>
        <w:t xml:space="preserve">JAIN, A.; MITRA, P. Bipolar disorder. </w:t>
      </w:r>
      <w:r w:rsidRPr="00FE7FC4">
        <w:rPr>
          <w:spacing w:val="-6"/>
          <w:sz w:val="19"/>
          <w:szCs w:val="19"/>
          <w:lang w:val="en-US"/>
        </w:rPr>
        <w:t xml:space="preserve">In: </w:t>
      </w:r>
      <w:proofErr w:type="spellStart"/>
      <w:r w:rsidRPr="00FE7FC4">
        <w:rPr>
          <w:spacing w:val="-6"/>
          <w:sz w:val="19"/>
          <w:szCs w:val="19"/>
          <w:lang w:val="en-US"/>
        </w:rPr>
        <w:t>StatPearls</w:t>
      </w:r>
      <w:proofErr w:type="spellEnd"/>
      <w:r w:rsidRPr="00FE7FC4">
        <w:rPr>
          <w:spacing w:val="-6"/>
          <w:sz w:val="19"/>
          <w:szCs w:val="19"/>
          <w:lang w:val="en-US"/>
        </w:rPr>
        <w:t xml:space="preserve"> [Internet]. Treasure Island (FL): </w:t>
      </w:r>
      <w:proofErr w:type="spellStart"/>
      <w:r w:rsidRPr="00FE7FC4">
        <w:rPr>
          <w:spacing w:val="-6"/>
          <w:sz w:val="19"/>
          <w:szCs w:val="19"/>
          <w:lang w:val="en-US"/>
        </w:rPr>
        <w:t>StatPearls</w:t>
      </w:r>
      <w:proofErr w:type="spellEnd"/>
      <w:r w:rsidRPr="00FE7FC4">
        <w:rPr>
          <w:spacing w:val="-6"/>
          <w:sz w:val="19"/>
          <w:szCs w:val="19"/>
          <w:lang w:val="en-US"/>
        </w:rPr>
        <w:t xml:space="preserve"> Publishing, 2023. </w:t>
      </w:r>
      <w:r w:rsidRPr="00C8403B">
        <w:rPr>
          <w:spacing w:val="-6"/>
          <w:sz w:val="19"/>
          <w:szCs w:val="19"/>
          <w:lang w:val="pt-BR"/>
        </w:rPr>
        <w:t>Disponível em:</w:t>
      </w:r>
      <w:hyperlink r:id="rId24">
        <w:r w:rsidRPr="00C8403B">
          <w:rPr>
            <w:spacing w:val="-6"/>
            <w:sz w:val="19"/>
            <w:szCs w:val="19"/>
            <w:lang w:val="pt-BR"/>
          </w:rPr>
          <w:t xml:space="preserve"> </w:t>
        </w:r>
      </w:hyperlink>
      <w:hyperlink r:id="rId25">
        <w:r w:rsidRPr="00C8403B">
          <w:rPr>
            <w:spacing w:val="-6"/>
            <w:sz w:val="19"/>
            <w:szCs w:val="19"/>
            <w:lang w:val="pt-BR"/>
          </w:rPr>
          <w:t>https://www.ncbi.nlm.nih.gov/books/NBK558998/</w:t>
        </w:r>
      </w:hyperlink>
      <w:r w:rsidRPr="00C8403B">
        <w:rPr>
          <w:spacing w:val="-6"/>
          <w:sz w:val="19"/>
          <w:szCs w:val="19"/>
          <w:lang w:val="pt-BR"/>
        </w:rPr>
        <w:t xml:space="preserve">.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03 abr. 2024.</w:t>
      </w:r>
    </w:p>
    <w:p w14:paraId="15EEDF45" w14:textId="4C3F59D4" w:rsidR="00FE7FC4" w:rsidRPr="002F73BA" w:rsidRDefault="00FE7FC4" w:rsidP="00C82947">
      <w:pPr>
        <w:spacing w:after="60"/>
        <w:ind w:left="284" w:right="40" w:hanging="284"/>
        <w:rPr>
          <w:spacing w:val="-6"/>
          <w:sz w:val="19"/>
          <w:szCs w:val="19"/>
          <w:lang w:val="pt-BR"/>
        </w:rPr>
      </w:pPr>
      <w:r w:rsidRPr="00FE7FC4">
        <w:rPr>
          <w:spacing w:val="-6"/>
          <w:sz w:val="19"/>
          <w:szCs w:val="19"/>
          <w:lang w:val="en-US"/>
        </w:rPr>
        <w:t xml:space="preserve">JOKELA, M. Why is cognitive ability associated with psychological distress and wellbeing? Exploring psychological, biological, and social mechanisms. Personality and Individual Differences, v. 192, p. 111592, 2022. </w:t>
      </w:r>
      <w:r w:rsidRPr="002F73BA">
        <w:rPr>
          <w:spacing w:val="-6"/>
          <w:sz w:val="19"/>
          <w:szCs w:val="19"/>
          <w:lang w:val="pt-BR"/>
        </w:rPr>
        <w:t>Disponível em:</w:t>
      </w:r>
      <w:hyperlink r:id="rId26">
        <w:r w:rsidRPr="002F73BA">
          <w:rPr>
            <w:spacing w:val="-6"/>
            <w:sz w:val="19"/>
            <w:szCs w:val="19"/>
            <w:lang w:val="pt-BR"/>
          </w:rPr>
          <w:t xml:space="preserve"> </w:t>
        </w:r>
      </w:hyperlink>
      <w:r w:rsidR="003300E5" w:rsidRPr="002F73BA">
        <w:rPr>
          <w:spacing w:val="-6"/>
          <w:sz w:val="19"/>
          <w:szCs w:val="19"/>
          <w:lang w:val="pt-BR"/>
        </w:rPr>
        <w:t xml:space="preserve"> https://doi.org/</w:t>
      </w:r>
      <w:hyperlink r:id="rId27">
        <w:r w:rsidRPr="002F73BA">
          <w:rPr>
            <w:spacing w:val="-6"/>
            <w:sz w:val="19"/>
            <w:szCs w:val="19"/>
            <w:lang w:val="pt-BR"/>
          </w:rPr>
          <w:t>10.1016/j.paid.2022.111592</w:t>
        </w:r>
      </w:hyperlink>
      <w:r w:rsidRPr="002F73BA">
        <w:rPr>
          <w:spacing w:val="-6"/>
          <w:sz w:val="19"/>
          <w:szCs w:val="19"/>
          <w:lang w:val="pt-BR"/>
        </w:rPr>
        <w:t>. Acesso em: 6 jun. 2025.</w:t>
      </w:r>
    </w:p>
    <w:p w14:paraId="54A4C2B7" w14:textId="413DFA5B" w:rsidR="00FE7FC4" w:rsidRPr="002F73BA" w:rsidRDefault="00FE7FC4" w:rsidP="00C82947">
      <w:pPr>
        <w:spacing w:after="60"/>
        <w:ind w:left="284" w:right="40" w:hanging="284"/>
        <w:rPr>
          <w:spacing w:val="-6"/>
          <w:sz w:val="19"/>
          <w:szCs w:val="19"/>
          <w:lang w:val="en-US"/>
        </w:rPr>
      </w:pPr>
      <w:r w:rsidRPr="00FE7FC4">
        <w:rPr>
          <w:spacing w:val="-6"/>
          <w:sz w:val="19"/>
          <w:szCs w:val="19"/>
          <w:lang w:val="en-US"/>
        </w:rPr>
        <w:t>KESSI, M</w:t>
      </w:r>
      <w:r w:rsidR="00791976">
        <w:rPr>
          <w:spacing w:val="-6"/>
          <w:sz w:val="19"/>
          <w:szCs w:val="19"/>
          <w:lang w:val="en-US"/>
        </w:rPr>
        <w:t>.</w:t>
      </w:r>
      <w:r w:rsidRPr="00FE7FC4">
        <w:rPr>
          <w:spacing w:val="-6"/>
          <w:sz w:val="19"/>
          <w:szCs w:val="19"/>
          <w:lang w:val="en-US"/>
        </w:rPr>
        <w:t>; DUAN, H</w:t>
      </w:r>
      <w:r w:rsidR="00791976">
        <w:rPr>
          <w:spacing w:val="-6"/>
          <w:sz w:val="19"/>
          <w:szCs w:val="19"/>
          <w:lang w:val="en-US"/>
        </w:rPr>
        <w:t>.</w:t>
      </w:r>
      <w:r w:rsidRPr="00FE7FC4">
        <w:rPr>
          <w:spacing w:val="-6"/>
          <w:sz w:val="19"/>
          <w:szCs w:val="19"/>
          <w:lang w:val="en-US"/>
        </w:rPr>
        <w:t>; XIONG, J</w:t>
      </w:r>
      <w:r w:rsidR="00791976">
        <w:rPr>
          <w:spacing w:val="-6"/>
          <w:sz w:val="19"/>
          <w:szCs w:val="19"/>
          <w:lang w:val="en-US"/>
        </w:rPr>
        <w:t>.</w:t>
      </w:r>
      <w:r w:rsidRPr="00FE7FC4">
        <w:rPr>
          <w:spacing w:val="-6"/>
          <w:sz w:val="19"/>
          <w:szCs w:val="19"/>
          <w:lang w:val="en-US"/>
        </w:rPr>
        <w:t>; CHEN, B</w:t>
      </w:r>
      <w:r w:rsidR="00791976">
        <w:rPr>
          <w:spacing w:val="-6"/>
          <w:sz w:val="19"/>
          <w:szCs w:val="19"/>
          <w:lang w:val="en-US"/>
        </w:rPr>
        <w:t>.</w:t>
      </w:r>
      <w:r w:rsidRPr="00FE7FC4">
        <w:rPr>
          <w:spacing w:val="-6"/>
          <w:sz w:val="19"/>
          <w:szCs w:val="19"/>
          <w:lang w:val="en-US"/>
        </w:rPr>
        <w:t>; HE, F</w:t>
      </w:r>
      <w:r w:rsidR="00791976">
        <w:rPr>
          <w:spacing w:val="-6"/>
          <w:sz w:val="19"/>
          <w:szCs w:val="19"/>
          <w:lang w:val="en-US"/>
        </w:rPr>
        <w:t>.</w:t>
      </w:r>
      <w:r w:rsidRPr="00FE7FC4">
        <w:rPr>
          <w:spacing w:val="-6"/>
          <w:sz w:val="19"/>
          <w:szCs w:val="19"/>
          <w:lang w:val="en-US"/>
        </w:rPr>
        <w:t>; YANG, L</w:t>
      </w:r>
      <w:r w:rsidR="00791976">
        <w:rPr>
          <w:spacing w:val="-6"/>
          <w:sz w:val="19"/>
          <w:szCs w:val="19"/>
          <w:lang w:val="en-US"/>
        </w:rPr>
        <w:t>.</w:t>
      </w:r>
      <w:r w:rsidRPr="00FE7FC4">
        <w:rPr>
          <w:spacing w:val="-6"/>
          <w:sz w:val="19"/>
          <w:szCs w:val="19"/>
          <w:lang w:val="en-US"/>
        </w:rPr>
        <w:t xml:space="preserve">; et al. Attention-deficit/hyperactive disorder updates. Frontiers in Molecular Neuroscience, v. 15, </w:t>
      </w:r>
      <w:r w:rsidR="0063037E">
        <w:rPr>
          <w:spacing w:val="-6"/>
          <w:sz w:val="19"/>
          <w:szCs w:val="19"/>
          <w:lang w:val="en-US"/>
        </w:rPr>
        <w:t xml:space="preserve">p. </w:t>
      </w:r>
      <w:r w:rsidRPr="00FE7FC4">
        <w:rPr>
          <w:spacing w:val="-6"/>
          <w:sz w:val="19"/>
          <w:szCs w:val="19"/>
          <w:lang w:val="en-US"/>
        </w:rPr>
        <w:t xml:space="preserve">925049, 2022. </w:t>
      </w:r>
      <w:r w:rsidRPr="002F73BA">
        <w:rPr>
          <w:spacing w:val="-6"/>
          <w:sz w:val="19"/>
          <w:szCs w:val="19"/>
          <w:lang w:val="en-US"/>
        </w:rPr>
        <w:t>Disponível em: https://doi.org/10.3389/fnmol.2022.925049. Acesso em: 6 jun. 2025.</w:t>
      </w:r>
    </w:p>
    <w:p w14:paraId="4BC003EC" w14:textId="1C826E9B" w:rsidR="00FE7FC4" w:rsidRPr="00FE7FC4" w:rsidRDefault="00FE7FC4" w:rsidP="00C82947">
      <w:pPr>
        <w:spacing w:after="60"/>
        <w:ind w:left="284" w:right="40" w:hanging="284"/>
        <w:rPr>
          <w:spacing w:val="-6"/>
          <w:sz w:val="19"/>
          <w:szCs w:val="19"/>
          <w:lang w:val="en-US"/>
        </w:rPr>
      </w:pPr>
      <w:r w:rsidRPr="00791976">
        <w:rPr>
          <w:spacing w:val="-6"/>
          <w:sz w:val="19"/>
          <w:szCs w:val="19"/>
          <w:lang w:val="en-US"/>
        </w:rPr>
        <w:t>KIESEPPÄ, T</w:t>
      </w:r>
      <w:r w:rsidR="00791976" w:rsidRPr="00791976">
        <w:rPr>
          <w:spacing w:val="-6"/>
          <w:sz w:val="19"/>
          <w:szCs w:val="19"/>
          <w:lang w:val="en-US"/>
        </w:rPr>
        <w:t>.</w:t>
      </w:r>
      <w:r w:rsidRPr="00791976">
        <w:rPr>
          <w:spacing w:val="-6"/>
          <w:sz w:val="19"/>
          <w:szCs w:val="19"/>
          <w:lang w:val="en-US"/>
        </w:rPr>
        <w:t>; PARTONEN, T</w:t>
      </w:r>
      <w:r w:rsidR="00791976" w:rsidRPr="00791976">
        <w:rPr>
          <w:spacing w:val="-6"/>
          <w:sz w:val="19"/>
          <w:szCs w:val="19"/>
          <w:lang w:val="en-US"/>
        </w:rPr>
        <w:t>.</w:t>
      </w:r>
      <w:r w:rsidRPr="00791976">
        <w:rPr>
          <w:spacing w:val="-6"/>
          <w:sz w:val="19"/>
          <w:szCs w:val="19"/>
          <w:lang w:val="en-US"/>
        </w:rPr>
        <w:t>; HAUKKA, J</w:t>
      </w:r>
      <w:r w:rsidR="00791976" w:rsidRPr="00791976">
        <w:rPr>
          <w:spacing w:val="-6"/>
          <w:sz w:val="19"/>
          <w:szCs w:val="19"/>
          <w:lang w:val="en-US"/>
        </w:rPr>
        <w:t>.</w:t>
      </w:r>
      <w:r w:rsidRPr="00791976">
        <w:rPr>
          <w:spacing w:val="-6"/>
          <w:sz w:val="19"/>
          <w:szCs w:val="19"/>
          <w:lang w:val="en-US"/>
        </w:rPr>
        <w:t>; KAPRIO, J</w:t>
      </w:r>
      <w:r w:rsidR="00791976" w:rsidRPr="00791976">
        <w:rPr>
          <w:spacing w:val="-6"/>
          <w:sz w:val="19"/>
          <w:szCs w:val="19"/>
          <w:lang w:val="en-US"/>
        </w:rPr>
        <w:t>.</w:t>
      </w:r>
      <w:r w:rsidRPr="00791976">
        <w:rPr>
          <w:spacing w:val="-6"/>
          <w:sz w:val="19"/>
          <w:szCs w:val="19"/>
          <w:lang w:val="en-US"/>
        </w:rPr>
        <w:t xml:space="preserve">; LÖNNQVIST, J. </w:t>
      </w:r>
      <w:r w:rsidRPr="00FE7FC4">
        <w:rPr>
          <w:spacing w:val="-6"/>
          <w:sz w:val="19"/>
          <w:szCs w:val="19"/>
          <w:lang w:val="en-US"/>
        </w:rPr>
        <w:t xml:space="preserve">High concordance of bipolar I disorder in a nationwide sample of twins. The American Journal of Psychiatry, v. 161, n. 10, p. 1814–1821, 2004.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w:t>
      </w:r>
      <w:r w:rsidR="003300E5" w:rsidRPr="00FE7FC4">
        <w:rPr>
          <w:spacing w:val="-6"/>
          <w:sz w:val="19"/>
          <w:szCs w:val="19"/>
          <w:lang w:val="en-US"/>
        </w:rPr>
        <w:t>https://doi.org/</w:t>
      </w:r>
      <w:hyperlink r:id="rId28">
        <w:r w:rsidRPr="00FE7FC4">
          <w:rPr>
            <w:spacing w:val="-6"/>
            <w:sz w:val="19"/>
            <w:szCs w:val="19"/>
            <w:lang w:val="en-US"/>
          </w:rPr>
          <w:t>10.1176/appi.ajp.161.10.1814</w:t>
        </w:r>
      </w:hyperlink>
      <w:r w:rsidRPr="00FE7FC4">
        <w:rPr>
          <w:spacing w:val="-6"/>
          <w:sz w:val="19"/>
          <w:szCs w:val="19"/>
          <w:lang w:val="en-US"/>
        </w:rPr>
        <w:t xml:space="preserve">.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6 jun. 2025.</w:t>
      </w:r>
    </w:p>
    <w:p w14:paraId="1F4E121C" w14:textId="3F714DAC" w:rsidR="00FE7FC4" w:rsidRPr="002F73BA" w:rsidRDefault="00FE7FC4" w:rsidP="00C82947">
      <w:pPr>
        <w:spacing w:after="60"/>
        <w:ind w:left="284" w:right="40" w:hanging="284"/>
        <w:rPr>
          <w:spacing w:val="-6"/>
          <w:sz w:val="19"/>
          <w:szCs w:val="19"/>
          <w:lang w:val="en-US"/>
        </w:rPr>
      </w:pPr>
      <w:r w:rsidRPr="00C8403B">
        <w:rPr>
          <w:spacing w:val="-6"/>
          <w:sz w:val="19"/>
          <w:szCs w:val="19"/>
          <w:lang w:val="pt-BR"/>
        </w:rPr>
        <w:t>LEE, J</w:t>
      </w:r>
      <w:r w:rsidR="00791976" w:rsidRPr="00C8403B">
        <w:rPr>
          <w:spacing w:val="-6"/>
          <w:sz w:val="19"/>
          <w:szCs w:val="19"/>
          <w:lang w:val="pt-BR"/>
        </w:rPr>
        <w:t>.</w:t>
      </w:r>
      <w:r w:rsidRPr="00C8403B">
        <w:rPr>
          <w:spacing w:val="-6"/>
          <w:sz w:val="19"/>
          <w:szCs w:val="19"/>
          <w:lang w:val="pt-BR"/>
        </w:rPr>
        <w:t xml:space="preserve"> H.; SADANA, R</w:t>
      </w:r>
      <w:r w:rsidR="00791976" w:rsidRPr="00C8403B">
        <w:rPr>
          <w:spacing w:val="-6"/>
          <w:sz w:val="19"/>
          <w:szCs w:val="19"/>
          <w:lang w:val="pt-BR"/>
        </w:rPr>
        <w:t xml:space="preserve">. </w:t>
      </w:r>
      <w:r w:rsidRPr="00C8403B">
        <w:rPr>
          <w:spacing w:val="-6"/>
          <w:sz w:val="19"/>
          <w:szCs w:val="19"/>
          <w:lang w:val="pt-BR"/>
        </w:rPr>
        <w:t xml:space="preserve">(eds.). </w:t>
      </w:r>
      <w:r w:rsidRPr="00FE7FC4">
        <w:rPr>
          <w:spacing w:val="-6"/>
          <w:sz w:val="19"/>
          <w:szCs w:val="19"/>
          <w:lang w:val="en-US"/>
        </w:rPr>
        <w:t xml:space="preserve">Improving equity in health by addressing social determinants. Copenhagen: World Health Organization, Regional Office for Europe, 2011. </w:t>
      </w:r>
      <w:r w:rsidRPr="002F73BA">
        <w:rPr>
          <w:spacing w:val="-6"/>
          <w:sz w:val="19"/>
          <w:szCs w:val="19"/>
          <w:lang w:val="en-US"/>
        </w:rPr>
        <w:t xml:space="preserve">Disponível </w:t>
      </w:r>
      <w:proofErr w:type="spellStart"/>
      <w:r w:rsidRPr="002F73BA">
        <w:rPr>
          <w:spacing w:val="-6"/>
          <w:sz w:val="19"/>
          <w:szCs w:val="19"/>
          <w:lang w:val="en-US"/>
        </w:rPr>
        <w:t>em</w:t>
      </w:r>
      <w:proofErr w:type="spellEnd"/>
      <w:r w:rsidRPr="002F73BA">
        <w:rPr>
          <w:spacing w:val="-6"/>
          <w:sz w:val="19"/>
          <w:szCs w:val="19"/>
          <w:lang w:val="en-US"/>
        </w:rPr>
        <w:t>:</w:t>
      </w:r>
      <w:hyperlink r:id="rId29" w:history="1">
        <w:r w:rsidR="001D07EB" w:rsidRPr="002F73BA">
          <w:rPr>
            <w:rStyle w:val="Hyperlink"/>
            <w:spacing w:val="-6"/>
            <w:sz w:val="19"/>
            <w:szCs w:val="19"/>
            <w:lang w:val="en-US"/>
          </w:rPr>
          <w:t xml:space="preserve"> </w:t>
        </w:r>
      </w:hyperlink>
      <w:hyperlink r:id="rId30">
        <w:r w:rsidRPr="002F73BA">
          <w:rPr>
            <w:spacing w:val="-6"/>
            <w:sz w:val="19"/>
            <w:szCs w:val="19"/>
            <w:lang w:val="en-US"/>
          </w:rPr>
          <w:t>https://apps.who.int/iris/handle/10665/44793</w:t>
        </w:r>
      </w:hyperlink>
      <w:r w:rsidRPr="002F73BA">
        <w:rPr>
          <w:spacing w:val="-6"/>
          <w:sz w:val="19"/>
          <w:szCs w:val="19"/>
          <w:lang w:val="en-US"/>
        </w:rPr>
        <w:t>. Acesso em: 14 abr. 2024.</w:t>
      </w:r>
    </w:p>
    <w:p w14:paraId="176FC9E5" w14:textId="27F64E54" w:rsidR="00FE7FC4" w:rsidRPr="002F73BA" w:rsidRDefault="00FE7FC4" w:rsidP="00C82947">
      <w:pPr>
        <w:spacing w:after="60"/>
        <w:ind w:left="284" w:right="40" w:hanging="284"/>
        <w:rPr>
          <w:color w:val="FF0000"/>
          <w:spacing w:val="-6"/>
          <w:sz w:val="19"/>
          <w:szCs w:val="19"/>
          <w:lang w:val="en-US"/>
        </w:rPr>
      </w:pPr>
      <w:r w:rsidRPr="00D743B8">
        <w:rPr>
          <w:spacing w:val="-6"/>
          <w:sz w:val="19"/>
          <w:szCs w:val="19"/>
          <w:lang w:val="en-US"/>
        </w:rPr>
        <w:t>LORETTU, L</w:t>
      </w:r>
      <w:r w:rsidR="00791976" w:rsidRPr="00D743B8">
        <w:rPr>
          <w:spacing w:val="-6"/>
          <w:sz w:val="19"/>
          <w:szCs w:val="19"/>
          <w:lang w:val="en-US"/>
        </w:rPr>
        <w:t>.</w:t>
      </w:r>
      <w:r w:rsidRPr="00D743B8">
        <w:rPr>
          <w:spacing w:val="-6"/>
          <w:sz w:val="19"/>
          <w:szCs w:val="19"/>
          <w:lang w:val="en-US"/>
        </w:rPr>
        <w:t>; CARPITA, B</w:t>
      </w:r>
      <w:r w:rsidR="00791976" w:rsidRPr="00D743B8">
        <w:rPr>
          <w:spacing w:val="-6"/>
          <w:sz w:val="19"/>
          <w:szCs w:val="19"/>
          <w:lang w:val="en-US"/>
        </w:rPr>
        <w:t>.</w:t>
      </w:r>
      <w:r w:rsidRPr="00D743B8">
        <w:rPr>
          <w:spacing w:val="-6"/>
          <w:sz w:val="19"/>
          <w:szCs w:val="19"/>
          <w:lang w:val="en-US"/>
        </w:rPr>
        <w:t>; NIVOLI, A</w:t>
      </w:r>
      <w:r w:rsidR="00791976" w:rsidRPr="00D743B8">
        <w:rPr>
          <w:spacing w:val="-6"/>
          <w:sz w:val="19"/>
          <w:szCs w:val="19"/>
          <w:lang w:val="en-US"/>
        </w:rPr>
        <w:t>.</w:t>
      </w:r>
      <w:r w:rsidRPr="00D743B8">
        <w:rPr>
          <w:spacing w:val="-6"/>
          <w:sz w:val="19"/>
          <w:szCs w:val="19"/>
          <w:lang w:val="en-US"/>
        </w:rPr>
        <w:t>; MILIA, P</w:t>
      </w:r>
      <w:r w:rsidR="00791976" w:rsidRPr="00D743B8">
        <w:rPr>
          <w:spacing w:val="-6"/>
          <w:sz w:val="19"/>
          <w:szCs w:val="19"/>
          <w:lang w:val="en-US"/>
        </w:rPr>
        <w:t>.</w:t>
      </w:r>
      <w:r w:rsidRPr="00D743B8">
        <w:rPr>
          <w:spacing w:val="-6"/>
          <w:sz w:val="19"/>
          <w:szCs w:val="19"/>
          <w:lang w:val="en-US"/>
        </w:rPr>
        <w:t>; DE IORIO, G</w:t>
      </w:r>
      <w:r w:rsidR="00791976" w:rsidRPr="00D743B8">
        <w:rPr>
          <w:spacing w:val="-6"/>
          <w:sz w:val="19"/>
          <w:szCs w:val="19"/>
          <w:lang w:val="en-US"/>
        </w:rPr>
        <w:t>.</w:t>
      </w:r>
      <w:r w:rsidRPr="00D743B8">
        <w:rPr>
          <w:spacing w:val="-6"/>
          <w:sz w:val="19"/>
          <w:szCs w:val="19"/>
          <w:lang w:val="en-US"/>
        </w:rPr>
        <w:t>; CREMONE, I</w:t>
      </w:r>
      <w:r w:rsidR="00791976" w:rsidRPr="00D743B8">
        <w:rPr>
          <w:spacing w:val="-6"/>
          <w:sz w:val="19"/>
          <w:szCs w:val="19"/>
          <w:lang w:val="en-US"/>
        </w:rPr>
        <w:t>.</w:t>
      </w:r>
      <w:r w:rsidRPr="00D743B8">
        <w:rPr>
          <w:spacing w:val="-6"/>
          <w:sz w:val="19"/>
          <w:szCs w:val="19"/>
          <w:lang w:val="en-US"/>
        </w:rPr>
        <w:t xml:space="preserve"> M</w:t>
      </w:r>
      <w:r w:rsidR="00791976" w:rsidRPr="00D743B8">
        <w:rPr>
          <w:spacing w:val="-6"/>
          <w:sz w:val="19"/>
          <w:szCs w:val="19"/>
          <w:lang w:val="en-US"/>
        </w:rPr>
        <w:t>.</w:t>
      </w:r>
      <w:r w:rsidRPr="00D743B8">
        <w:rPr>
          <w:spacing w:val="-6"/>
          <w:sz w:val="19"/>
          <w:szCs w:val="19"/>
          <w:lang w:val="en-US"/>
        </w:rPr>
        <w:t xml:space="preserve">; DELL'OSSO, L. </w:t>
      </w:r>
      <w:r w:rsidRPr="00FE7FC4">
        <w:rPr>
          <w:spacing w:val="-6"/>
          <w:sz w:val="19"/>
          <w:szCs w:val="19"/>
          <w:lang w:val="en-US"/>
        </w:rPr>
        <w:t xml:space="preserve">Lithium use during pregnancy in a patient with bipolar disorder and multiple sclerosis. </w:t>
      </w:r>
      <w:r w:rsidRPr="00FE7FC4">
        <w:rPr>
          <w:spacing w:val="-6"/>
          <w:sz w:val="19"/>
          <w:szCs w:val="19"/>
          <w:lang w:val="pt-BR"/>
        </w:rPr>
        <w:t xml:space="preserve">Clinical </w:t>
      </w:r>
      <w:proofErr w:type="spellStart"/>
      <w:r w:rsidRPr="00FE7FC4">
        <w:rPr>
          <w:spacing w:val="-6"/>
          <w:sz w:val="19"/>
          <w:szCs w:val="19"/>
          <w:lang w:val="pt-BR"/>
        </w:rPr>
        <w:t>neuropharmacology</w:t>
      </w:r>
      <w:proofErr w:type="spellEnd"/>
      <w:r w:rsidRPr="00FE7FC4">
        <w:rPr>
          <w:spacing w:val="-6"/>
          <w:sz w:val="19"/>
          <w:szCs w:val="19"/>
          <w:lang w:val="pt-BR"/>
        </w:rPr>
        <w:t>, v. 43, n. 5, p. 158-161, 2020. Disponível em:</w:t>
      </w:r>
      <w:hyperlink r:id="rId31">
        <w:r w:rsidRPr="00FE7FC4">
          <w:rPr>
            <w:spacing w:val="-6"/>
            <w:sz w:val="19"/>
            <w:szCs w:val="19"/>
            <w:lang w:val="pt-BR"/>
          </w:rPr>
          <w:t xml:space="preserve"> </w:t>
        </w:r>
      </w:hyperlink>
      <w:r w:rsidR="0063037E" w:rsidRPr="002F73BA">
        <w:rPr>
          <w:spacing w:val="-6"/>
          <w:sz w:val="19"/>
          <w:szCs w:val="19"/>
          <w:lang w:val="pt-BR"/>
        </w:rPr>
        <w:t xml:space="preserve"> https://doi.org/</w:t>
      </w:r>
      <w:hyperlink r:id="rId32">
        <w:r w:rsidRPr="00FE7FC4">
          <w:rPr>
            <w:spacing w:val="-6"/>
            <w:sz w:val="19"/>
            <w:szCs w:val="19"/>
            <w:lang w:val="pt-BR"/>
          </w:rPr>
          <w:t>10.1097/WNF.0000000000000407</w:t>
        </w:r>
      </w:hyperlink>
      <w:r w:rsidRPr="00FE7FC4">
        <w:rPr>
          <w:spacing w:val="-6"/>
          <w:sz w:val="19"/>
          <w:szCs w:val="19"/>
          <w:lang w:val="pt-BR"/>
        </w:rPr>
        <w:t xml:space="preserve">. </w:t>
      </w:r>
      <w:r w:rsidRPr="002F73BA">
        <w:rPr>
          <w:spacing w:val="-6"/>
          <w:sz w:val="19"/>
          <w:szCs w:val="19"/>
          <w:lang w:val="en-US"/>
        </w:rPr>
        <w:t>Acesso em: 6 jun. 2025.</w:t>
      </w:r>
    </w:p>
    <w:p w14:paraId="5B643223" w14:textId="7E500443" w:rsidR="00FE7FC4" w:rsidRPr="00FE7FC4" w:rsidRDefault="00FE7FC4" w:rsidP="00C82947">
      <w:pPr>
        <w:pBdr>
          <w:top w:val="nil"/>
          <w:left w:val="nil"/>
          <w:bottom w:val="nil"/>
          <w:right w:val="nil"/>
          <w:between w:val="nil"/>
        </w:pBdr>
        <w:spacing w:after="60"/>
        <w:ind w:left="284" w:right="40" w:hanging="284"/>
        <w:rPr>
          <w:spacing w:val="-6"/>
          <w:sz w:val="19"/>
          <w:szCs w:val="19"/>
        </w:rPr>
      </w:pPr>
      <w:r w:rsidRPr="00FE7FC4">
        <w:rPr>
          <w:spacing w:val="-6"/>
          <w:sz w:val="19"/>
          <w:szCs w:val="19"/>
          <w:lang w:val="en-US"/>
        </w:rPr>
        <w:t xml:space="preserve">MADIREDDY, S.; MADIREDDY, S. Therapeutic Interventions to Mitigate Mitochondrial Dysfunction and Oxidative Stress-Induced Damage in Patients with Bipolar Disorder. </w:t>
      </w:r>
      <w:proofErr w:type="spellStart"/>
      <w:r w:rsidRPr="00FE7FC4">
        <w:rPr>
          <w:spacing w:val="-6"/>
          <w:sz w:val="19"/>
          <w:szCs w:val="19"/>
        </w:rPr>
        <w:t>Int</w:t>
      </w:r>
      <w:proofErr w:type="spellEnd"/>
      <w:r w:rsidRPr="00FE7FC4">
        <w:rPr>
          <w:spacing w:val="-6"/>
          <w:sz w:val="19"/>
          <w:szCs w:val="19"/>
        </w:rPr>
        <w:t xml:space="preserve"> J Mol </w:t>
      </w:r>
      <w:proofErr w:type="spellStart"/>
      <w:r w:rsidRPr="00FE7FC4">
        <w:rPr>
          <w:spacing w:val="-6"/>
          <w:sz w:val="19"/>
          <w:szCs w:val="19"/>
        </w:rPr>
        <w:t>Sci</w:t>
      </w:r>
      <w:proofErr w:type="spellEnd"/>
      <w:r w:rsidRPr="00FE7FC4">
        <w:rPr>
          <w:spacing w:val="-6"/>
          <w:sz w:val="19"/>
          <w:szCs w:val="19"/>
        </w:rPr>
        <w:t xml:space="preserve">, v. 23, n. 3, 1844, 2022. Disponível em: </w:t>
      </w:r>
      <w:r w:rsidR="0063037E" w:rsidRPr="002F73BA">
        <w:rPr>
          <w:spacing w:val="-6"/>
          <w:sz w:val="19"/>
          <w:szCs w:val="19"/>
          <w:lang w:val="pt-BR"/>
        </w:rPr>
        <w:t>https://doi.org/</w:t>
      </w:r>
      <w:r w:rsidRPr="00FE7FC4">
        <w:rPr>
          <w:spacing w:val="-6"/>
          <w:sz w:val="19"/>
          <w:szCs w:val="19"/>
        </w:rPr>
        <w:t>10.3390/ijms23031844. Acesso em: 10 mar. 2025.</w:t>
      </w:r>
    </w:p>
    <w:p w14:paraId="298C4B3E" w14:textId="5EC08BE1" w:rsidR="00FE7FC4" w:rsidRPr="00FE7FC4" w:rsidRDefault="00FE7FC4" w:rsidP="00C82947">
      <w:pPr>
        <w:pBdr>
          <w:top w:val="nil"/>
          <w:left w:val="nil"/>
          <w:bottom w:val="nil"/>
          <w:right w:val="nil"/>
          <w:between w:val="nil"/>
        </w:pBdr>
        <w:spacing w:after="60"/>
        <w:ind w:left="284" w:right="40" w:hanging="284"/>
        <w:rPr>
          <w:spacing w:val="-6"/>
          <w:sz w:val="19"/>
          <w:szCs w:val="19"/>
          <w:lang w:val="en-US"/>
        </w:rPr>
      </w:pPr>
      <w:r w:rsidRPr="00FE7FC4">
        <w:rPr>
          <w:spacing w:val="-6"/>
          <w:sz w:val="19"/>
          <w:szCs w:val="19"/>
          <w:lang w:val="en-US"/>
        </w:rPr>
        <w:t xml:space="preserve">MAES, M. H. J.; STOYANOV, D. False dogmas in mood disorders research: Towards a nomothetic network approach. World Journal of Psychiatry, v. 12, n. 5, p. 651, 2022.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w:t>
      </w:r>
      <w:r w:rsidR="0063037E" w:rsidRPr="00FE7FC4">
        <w:rPr>
          <w:spacing w:val="-6"/>
          <w:sz w:val="19"/>
          <w:szCs w:val="19"/>
          <w:lang w:val="en-US"/>
        </w:rPr>
        <w:t>https://doi.org/</w:t>
      </w:r>
      <w:r w:rsidRPr="00FE7FC4">
        <w:rPr>
          <w:spacing w:val="-6"/>
          <w:sz w:val="19"/>
          <w:szCs w:val="19"/>
          <w:lang w:val="en-US"/>
        </w:rPr>
        <w:t xml:space="preserve">10.5498/wjp.v12.i5.651.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15 </w:t>
      </w:r>
      <w:proofErr w:type="gramStart"/>
      <w:r w:rsidRPr="00FE7FC4">
        <w:rPr>
          <w:spacing w:val="-6"/>
          <w:sz w:val="19"/>
          <w:szCs w:val="19"/>
          <w:lang w:val="en-US"/>
        </w:rPr>
        <w:t>mar</w:t>
      </w:r>
      <w:proofErr w:type="gramEnd"/>
      <w:r w:rsidRPr="00FE7FC4">
        <w:rPr>
          <w:spacing w:val="-6"/>
          <w:sz w:val="19"/>
          <w:szCs w:val="19"/>
          <w:lang w:val="en-US"/>
        </w:rPr>
        <w:t>. 2025.</w:t>
      </w:r>
    </w:p>
    <w:p w14:paraId="5F26E4F2" w14:textId="3DD9A521" w:rsidR="00FE7FC4" w:rsidRPr="002F73BA" w:rsidRDefault="00FE7FC4" w:rsidP="00C82947">
      <w:pPr>
        <w:pBdr>
          <w:top w:val="nil"/>
          <w:left w:val="nil"/>
          <w:bottom w:val="nil"/>
          <w:right w:val="nil"/>
          <w:between w:val="nil"/>
        </w:pBdr>
        <w:spacing w:after="60"/>
        <w:ind w:left="284" w:right="40" w:hanging="284"/>
        <w:rPr>
          <w:spacing w:val="-6"/>
          <w:sz w:val="19"/>
          <w:szCs w:val="19"/>
          <w:lang w:val="pt-BR"/>
        </w:rPr>
      </w:pPr>
      <w:r w:rsidRPr="00FE7FC4">
        <w:rPr>
          <w:spacing w:val="-6"/>
          <w:sz w:val="19"/>
          <w:szCs w:val="19"/>
          <w:lang w:val="en-US"/>
        </w:rPr>
        <w:t>MATTHIJSSEN, A</w:t>
      </w:r>
      <w:r w:rsidR="00D743B8">
        <w:rPr>
          <w:spacing w:val="-6"/>
          <w:sz w:val="19"/>
          <w:szCs w:val="19"/>
          <w:lang w:val="en-US"/>
        </w:rPr>
        <w:t xml:space="preserve">. </w:t>
      </w:r>
      <w:r w:rsidRPr="00FE7FC4">
        <w:rPr>
          <w:spacing w:val="-6"/>
          <w:sz w:val="19"/>
          <w:szCs w:val="19"/>
          <w:lang w:val="en-US"/>
        </w:rPr>
        <w:t>F</w:t>
      </w:r>
      <w:r w:rsidR="00D743B8">
        <w:rPr>
          <w:spacing w:val="-6"/>
          <w:sz w:val="19"/>
          <w:szCs w:val="19"/>
          <w:lang w:val="en-US"/>
        </w:rPr>
        <w:t>.</w:t>
      </w:r>
      <w:r w:rsidRPr="00FE7FC4">
        <w:rPr>
          <w:spacing w:val="-6"/>
          <w:sz w:val="19"/>
          <w:szCs w:val="19"/>
          <w:lang w:val="en-US"/>
        </w:rPr>
        <w:t>M.; DIETRICH, A</w:t>
      </w:r>
      <w:r w:rsidR="00D743B8">
        <w:rPr>
          <w:spacing w:val="-6"/>
          <w:sz w:val="19"/>
          <w:szCs w:val="19"/>
          <w:lang w:val="en-US"/>
        </w:rPr>
        <w:t>.</w:t>
      </w:r>
      <w:r w:rsidRPr="00FE7FC4">
        <w:rPr>
          <w:spacing w:val="-6"/>
          <w:sz w:val="19"/>
          <w:szCs w:val="19"/>
          <w:lang w:val="en-US"/>
        </w:rPr>
        <w:t>; BIERENS, M</w:t>
      </w:r>
      <w:r w:rsidR="00D743B8">
        <w:rPr>
          <w:spacing w:val="-6"/>
          <w:sz w:val="19"/>
          <w:szCs w:val="19"/>
          <w:lang w:val="en-US"/>
        </w:rPr>
        <w:t>.</w:t>
      </w:r>
      <w:r w:rsidRPr="00FE7FC4">
        <w:rPr>
          <w:spacing w:val="-6"/>
          <w:sz w:val="19"/>
          <w:szCs w:val="19"/>
          <w:lang w:val="en-US"/>
        </w:rPr>
        <w:t>; DETERS, R</w:t>
      </w:r>
      <w:r w:rsidR="00D743B8">
        <w:rPr>
          <w:spacing w:val="-6"/>
          <w:sz w:val="19"/>
          <w:szCs w:val="19"/>
          <w:lang w:val="en-US"/>
        </w:rPr>
        <w:t>.</w:t>
      </w:r>
      <w:r w:rsidRPr="00FE7FC4">
        <w:rPr>
          <w:spacing w:val="-6"/>
          <w:sz w:val="19"/>
          <w:szCs w:val="19"/>
          <w:lang w:val="en-US"/>
        </w:rPr>
        <w:t xml:space="preserve"> K</w:t>
      </w:r>
      <w:r w:rsidR="00D743B8">
        <w:rPr>
          <w:spacing w:val="-6"/>
          <w:sz w:val="19"/>
          <w:szCs w:val="19"/>
          <w:lang w:val="en-US"/>
        </w:rPr>
        <w:t>.</w:t>
      </w:r>
      <w:r w:rsidRPr="00FE7FC4">
        <w:rPr>
          <w:spacing w:val="-6"/>
          <w:sz w:val="19"/>
          <w:szCs w:val="19"/>
          <w:lang w:val="en-US"/>
        </w:rPr>
        <w:t>; VAN DE LOO-NEUS, G</w:t>
      </w:r>
      <w:r w:rsidR="00D743B8">
        <w:rPr>
          <w:spacing w:val="-6"/>
          <w:sz w:val="19"/>
          <w:szCs w:val="19"/>
          <w:lang w:val="en-US"/>
        </w:rPr>
        <w:t>.</w:t>
      </w:r>
      <w:r w:rsidRPr="00FE7FC4">
        <w:rPr>
          <w:spacing w:val="-6"/>
          <w:sz w:val="19"/>
          <w:szCs w:val="19"/>
          <w:lang w:val="en-US"/>
        </w:rPr>
        <w:t xml:space="preserve"> H. H.; VAN DEN HOOFDAKKER, B</w:t>
      </w:r>
      <w:r w:rsidR="00D743B8">
        <w:rPr>
          <w:spacing w:val="-6"/>
          <w:sz w:val="19"/>
          <w:szCs w:val="19"/>
          <w:lang w:val="en-US"/>
        </w:rPr>
        <w:t>.</w:t>
      </w:r>
      <w:r w:rsidRPr="00FE7FC4">
        <w:rPr>
          <w:spacing w:val="-6"/>
          <w:sz w:val="19"/>
          <w:szCs w:val="19"/>
          <w:lang w:val="en-US"/>
        </w:rPr>
        <w:t xml:space="preserve"> J.; BUITELAAR, J</w:t>
      </w:r>
      <w:r w:rsidR="00855B65">
        <w:rPr>
          <w:spacing w:val="-6"/>
          <w:sz w:val="19"/>
          <w:szCs w:val="19"/>
          <w:lang w:val="en-US"/>
        </w:rPr>
        <w:t>.</w:t>
      </w:r>
      <w:r w:rsidRPr="00FE7FC4">
        <w:rPr>
          <w:spacing w:val="-6"/>
          <w:sz w:val="19"/>
          <w:szCs w:val="19"/>
          <w:lang w:val="en-US"/>
        </w:rPr>
        <w:t xml:space="preserve"> K.; HOEKSTRA, P</w:t>
      </w:r>
      <w:r w:rsidR="00855B65">
        <w:rPr>
          <w:spacing w:val="-6"/>
          <w:sz w:val="19"/>
          <w:szCs w:val="19"/>
          <w:lang w:val="en-US"/>
        </w:rPr>
        <w:t xml:space="preserve">. </w:t>
      </w:r>
      <w:r w:rsidRPr="00FE7FC4">
        <w:rPr>
          <w:spacing w:val="-6"/>
          <w:sz w:val="19"/>
          <w:szCs w:val="19"/>
          <w:lang w:val="en-US"/>
        </w:rPr>
        <w:t xml:space="preserve">J. Continued Benefits of Methylphenidate in ADHD After 2 Years in Clinical Practice: A Randomized Placebo-Controlled Discontinuation Study. The American Journal of Psychiatry, v. 176, n. 9, p. 754-762, 2019.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10.1176/appi.ajp.2019. </w:t>
      </w:r>
      <w:r w:rsidRPr="002F73BA">
        <w:rPr>
          <w:spacing w:val="-6"/>
          <w:sz w:val="19"/>
          <w:szCs w:val="19"/>
          <w:lang w:val="pt-BR"/>
        </w:rPr>
        <w:t>Acesso em: 16 mar. 2025.</w:t>
      </w:r>
    </w:p>
    <w:p w14:paraId="4DD60EAA" w14:textId="6F555777" w:rsidR="00FE7FC4" w:rsidRPr="002F73BA" w:rsidRDefault="00FE7FC4" w:rsidP="00C82947">
      <w:pPr>
        <w:pBdr>
          <w:top w:val="nil"/>
          <w:left w:val="nil"/>
          <w:bottom w:val="nil"/>
          <w:right w:val="nil"/>
          <w:between w:val="nil"/>
        </w:pBdr>
        <w:spacing w:after="60"/>
        <w:ind w:left="284" w:right="40" w:hanging="284"/>
        <w:rPr>
          <w:spacing w:val="-6"/>
          <w:sz w:val="19"/>
          <w:szCs w:val="19"/>
          <w:lang w:val="en-US"/>
        </w:rPr>
      </w:pPr>
      <w:r w:rsidRPr="00855B65">
        <w:rPr>
          <w:spacing w:val="-6"/>
          <w:sz w:val="19"/>
          <w:szCs w:val="19"/>
          <w:lang w:val="pt-BR"/>
        </w:rPr>
        <w:t>MCINTYRE, R</w:t>
      </w:r>
      <w:r w:rsidR="00855B65" w:rsidRPr="00855B65">
        <w:rPr>
          <w:spacing w:val="-6"/>
          <w:sz w:val="19"/>
          <w:szCs w:val="19"/>
          <w:lang w:val="pt-BR"/>
        </w:rPr>
        <w:t xml:space="preserve">. </w:t>
      </w:r>
      <w:r w:rsidRPr="00855B65">
        <w:rPr>
          <w:spacing w:val="-6"/>
          <w:sz w:val="19"/>
          <w:szCs w:val="19"/>
          <w:lang w:val="pt-BR"/>
        </w:rPr>
        <w:t>S.; ALDA, M</w:t>
      </w:r>
      <w:r w:rsidR="00855B65" w:rsidRPr="00855B65">
        <w:rPr>
          <w:spacing w:val="-6"/>
          <w:sz w:val="19"/>
          <w:szCs w:val="19"/>
          <w:lang w:val="pt-BR"/>
        </w:rPr>
        <w:t>.</w:t>
      </w:r>
      <w:r w:rsidRPr="00855B65">
        <w:rPr>
          <w:spacing w:val="-6"/>
          <w:sz w:val="19"/>
          <w:szCs w:val="19"/>
          <w:lang w:val="pt-BR"/>
        </w:rPr>
        <w:t>; BALDESSARINI, R</w:t>
      </w:r>
      <w:r w:rsidR="00855B65" w:rsidRPr="00855B65">
        <w:rPr>
          <w:spacing w:val="-6"/>
          <w:sz w:val="19"/>
          <w:szCs w:val="19"/>
          <w:lang w:val="pt-BR"/>
        </w:rPr>
        <w:t>.</w:t>
      </w:r>
      <w:r w:rsidRPr="00855B65">
        <w:rPr>
          <w:spacing w:val="-6"/>
          <w:sz w:val="19"/>
          <w:szCs w:val="19"/>
          <w:lang w:val="pt-BR"/>
        </w:rPr>
        <w:t xml:space="preserve"> J.; BAUER, M</w:t>
      </w:r>
      <w:r w:rsidR="00855B65" w:rsidRPr="00855B65">
        <w:rPr>
          <w:spacing w:val="-6"/>
          <w:sz w:val="19"/>
          <w:szCs w:val="19"/>
          <w:lang w:val="pt-BR"/>
        </w:rPr>
        <w:t>.</w:t>
      </w:r>
      <w:r w:rsidRPr="00855B65">
        <w:rPr>
          <w:spacing w:val="-6"/>
          <w:sz w:val="19"/>
          <w:szCs w:val="19"/>
          <w:lang w:val="pt-BR"/>
        </w:rPr>
        <w:t>; BERK, M</w:t>
      </w:r>
      <w:r w:rsidR="00855B65" w:rsidRPr="00855B65">
        <w:rPr>
          <w:spacing w:val="-6"/>
          <w:sz w:val="19"/>
          <w:szCs w:val="19"/>
          <w:lang w:val="pt-BR"/>
        </w:rPr>
        <w:t>.</w:t>
      </w:r>
      <w:r w:rsidRPr="00855B65">
        <w:rPr>
          <w:spacing w:val="-6"/>
          <w:sz w:val="19"/>
          <w:szCs w:val="19"/>
          <w:lang w:val="pt-BR"/>
        </w:rPr>
        <w:t>; CORRELL, C</w:t>
      </w:r>
      <w:r w:rsidR="00855B65" w:rsidRPr="00855B65">
        <w:rPr>
          <w:spacing w:val="-6"/>
          <w:sz w:val="19"/>
          <w:szCs w:val="19"/>
          <w:lang w:val="pt-BR"/>
        </w:rPr>
        <w:t>.</w:t>
      </w:r>
      <w:r w:rsidRPr="00855B65">
        <w:rPr>
          <w:spacing w:val="-6"/>
          <w:sz w:val="19"/>
          <w:szCs w:val="19"/>
          <w:lang w:val="pt-BR"/>
        </w:rPr>
        <w:t xml:space="preserve"> U.; </w:t>
      </w:r>
      <w:r w:rsidRPr="00855B65">
        <w:rPr>
          <w:i/>
          <w:iCs/>
          <w:spacing w:val="-6"/>
          <w:sz w:val="19"/>
          <w:szCs w:val="19"/>
          <w:lang w:val="pt-BR"/>
        </w:rPr>
        <w:t>et al</w:t>
      </w:r>
      <w:r w:rsidRPr="00855B65">
        <w:rPr>
          <w:spacing w:val="-6"/>
          <w:sz w:val="19"/>
          <w:szCs w:val="19"/>
          <w:lang w:val="pt-BR"/>
        </w:rPr>
        <w:t xml:space="preserve">. </w:t>
      </w:r>
      <w:r w:rsidRPr="00FE7FC4">
        <w:rPr>
          <w:spacing w:val="-6"/>
          <w:sz w:val="19"/>
          <w:szCs w:val="19"/>
          <w:lang w:val="en-US"/>
        </w:rPr>
        <w:t xml:space="preserve">The clinical characterization of the adult patient with bipolar disorder aimed at personalization of management. </w:t>
      </w:r>
      <w:r w:rsidRPr="00FE7FC4">
        <w:rPr>
          <w:spacing w:val="-6"/>
          <w:sz w:val="19"/>
          <w:szCs w:val="19"/>
          <w:lang w:val="pt-BR"/>
        </w:rPr>
        <w:t xml:space="preserve">World </w:t>
      </w:r>
      <w:proofErr w:type="spellStart"/>
      <w:r w:rsidRPr="00FE7FC4">
        <w:rPr>
          <w:spacing w:val="-6"/>
          <w:sz w:val="19"/>
          <w:szCs w:val="19"/>
          <w:lang w:val="pt-BR"/>
        </w:rPr>
        <w:t>Psychiatry</w:t>
      </w:r>
      <w:proofErr w:type="spellEnd"/>
      <w:r w:rsidRPr="00FE7FC4">
        <w:rPr>
          <w:spacing w:val="-6"/>
          <w:sz w:val="19"/>
          <w:szCs w:val="19"/>
          <w:lang w:val="pt-BR"/>
        </w:rPr>
        <w:t xml:space="preserve">, v. 21, n. 3, p. 364–387, 2022. Disponível em: </w:t>
      </w:r>
      <w:r w:rsidR="001C30B2" w:rsidRPr="001C30B2">
        <w:rPr>
          <w:spacing w:val="-6"/>
          <w:sz w:val="19"/>
          <w:szCs w:val="19"/>
          <w:lang w:val="pt-BR"/>
        </w:rPr>
        <w:t>https://doi.org/</w:t>
      </w:r>
      <w:r w:rsidRPr="00FE7FC4">
        <w:rPr>
          <w:spacing w:val="-6"/>
          <w:sz w:val="19"/>
          <w:szCs w:val="19"/>
          <w:lang w:val="pt-BR"/>
        </w:rPr>
        <w:t xml:space="preserve">10.1002/wps.20997. </w:t>
      </w:r>
      <w:r w:rsidRPr="002F73BA">
        <w:rPr>
          <w:spacing w:val="-6"/>
          <w:sz w:val="19"/>
          <w:szCs w:val="19"/>
          <w:lang w:val="en-US"/>
        </w:rPr>
        <w:t>Acesso em: 15 mar. 2025.</w:t>
      </w:r>
    </w:p>
    <w:p w14:paraId="40FF5649" w14:textId="38193AC0" w:rsidR="00FE7FC4" w:rsidRPr="002F73BA" w:rsidRDefault="00FE7FC4" w:rsidP="00C82947">
      <w:pPr>
        <w:spacing w:after="60"/>
        <w:ind w:left="284" w:right="40" w:hanging="284"/>
        <w:rPr>
          <w:spacing w:val="-6"/>
          <w:sz w:val="19"/>
          <w:szCs w:val="19"/>
          <w:lang w:val="en-US"/>
        </w:rPr>
      </w:pPr>
      <w:r w:rsidRPr="00FE7FC4">
        <w:rPr>
          <w:spacing w:val="-6"/>
          <w:sz w:val="19"/>
          <w:szCs w:val="19"/>
          <w:lang w:val="en-US"/>
        </w:rPr>
        <w:t>MERIKANGAS, K</w:t>
      </w:r>
      <w:r w:rsidR="00890522">
        <w:rPr>
          <w:spacing w:val="-6"/>
          <w:sz w:val="19"/>
          <w:szCs w:val="19"/>
          <w:lang w:val="en-US"/>
        </w:rPr>
        <w:t xml:space="preserve">. </w:t>
      </w:r>
      <w:r w:rsidRPr="00FE7FC4">
        <w:rPr>
          <w:spacing w:val="-6"/>
          <w:sz w:val="19"/>
          <w:szCs w:val="19"/>
          <w:lang w:val="en-US"/>
        </w:rPr>
        <w:t>R.; HE, J</w:t>
      </w:r>
      <w:r w:rsidR="00890522">
        <w:rPr>
          <w:spacing w:val="-6"/>
          <w:sz w:val="19"/>
          <w:szCs w:val="19"/>
          <w:lang w:val="en-US"/>
        </w:rPr>
        <w:t xml:space="preserve">. </w:t>
      </w:r>
      <w:r w:rsidRPr="00FE7FC4">
        <w:rPr>
          <w:spacing w:val="-6"/>
          <w:sz w:val="19"/>
          <w:szCs w:val="19"/>
          <w:lang w:val="en-US"/>
        </w:rPr>
        <w:t>P</w:t>
      </w:r>
      <w:r w:rsidR="00890522">
        <w:rPr>
          <w:spacing w:val="-6"/>
          <w:sz w:val="19"/>
          <w:szCs w:val="19"/>
          <w:lang w:val="en-US"/>
        </w:rPr>
        <w:t>.</w:t>
      </w:r>
      <w:r w:rsidRPr="00FE7FC4">
        <w:rPr>
          <w:spacing w:val="-6"/>
          <w:sz w:val="19"/>
          <w:szCs w:val="19"/>
          <w:lang w:val="en-US"/>
        </w:rPr>
        <w:t>; BRODY, D</w:t>
      </w:r>
      <w:r w:rsidR="00890522">
        <w:rPr>
          <w:spacing w:val="-6"/>
          <w:sz w:val="19"/>
          <w:szCs w:val="19"/>
          <w:lang w:val="en-US"/>
        </w:rPr>
        <w:t>.</w:t>
      </w:r>
      <w:r w:rsidRPr="00FE7FC4">
        <w:rPr>
          <w:spacing w:val="-6"/>
          <w:sz w:val="19"/>
          <w:szCs w:val="19"/>
          <w:lang w:val="en-US"/>
        </w:rPr>
        <w:t>; FISHER, P</w:t>
      </w:r>
      <w:r w:rsidR="00890522">
        <w:rPr>
          <w:spacing w:val="-6"/>
          <w:sz w:val="19"/>
          <w:szCs w:val="19"/>
          <w:lang w:val="en-US"/>
        </w:rPr>
        <w:t>.</w:t>
      </w:r>
      <w:r w:rsidRPr="00FE7FC4">
        <w:rPr>
          <w:spacing w:val="-6"/>
          <w:sz w:val="19"/>
          <w:szCs w:val="19"/>
          <w:lang w:val="en-US"/>
        </w:rPr>
        <w:t xml:space="preserve"> W.; BOURDON, K</w:t>
      </w:r>
      <w:r w:rsidR="00890522">
        <w:rPr>
          <w:spacing w:val="-6"/>
          <w:sz w:val="19"/>
          <w:szCs w:val="19"/>
          <w:lang w:val="en-US"/>
        </w:rPr>
        <w:t>.</w:t>
      </w:r>
      <w:r w:rsidRPr="00FE7FC4">
        <w:rPr>
          <w:spacing w:val="-6"/>
          <w:sz w:val="19"/>
          <w:szCs w:val="19"/>
          <w:lang w:val="en-US"/>
        </w:rPr>
        <w:t>; KORETZ, D</w:t>
      </w:r>
      <w:r w:rsidR="00890522">
        <w:rPr>
          <w:spacing w:val="-6"/>
          <w:sz w:val="19"/>
          <w:szCs w:val="19"/>
          <w:lang w:val="en-US"/>
        </w:rPr>
        <w:t>.</w:t>
      </w:r>
      <w:r w:rsidRPr="00FE7FC4">
        <w:rPr>
          <w:spacing w:val="-6"/>
          <w:sz w:val="19"/>
          <w:szCs w:val="19"/>
          <w:lang w:val="en-US"/>
        </w:rPr>
        <w:t xml:space="preserve"> S. Prevalence and treatment of mental disorders among US children in the 2001–2004 </w:t>
      </w:r>
      <w:r w:rsidRPr="00FE7FC4">
        <w:rPr>
          <w:spacing w:val="-6"/>
          <w:sz w:val="19"/>
          <w:szCs w:val="19"/>
          <w:lang w:val="en-US"/>
        </w:rPr>
        <w:lastRenderedPageBreak/>
        <w:t xml:space="preserve">NHANES. </w:t>
      </w:r>
      <w:proofErr w:type="spellStart"/>
      <w:r w:rsidRPr="00C82947">
        <w:rPr>
          <w:spacing w:val="-6"/>
          <w:sz w:val="19"/>
          <w:szCs w:val="19"/>
          <w:lang w:val="pt-BR"/>
        </w:rPr>
        <w:t>Pediatrics</w:t>
      </w:r>
      <w:proofErr w:type="spellEnd"/>
      <w:r w:rsidRPr="00C82947">
        <w:rPr>
          <w:spacing w:val="-6"/>
          <w:sz w:val="19"/>
          <w:szCs w:val="19"/>
          <w:lang w:val="pt-BR"/>
        </w:rPr>
        <w:t xml:space="preserve">, v. 125, n. 1, p. 75–81, 2010. Disponível em: </w:t>
      </w:r>
      <w:r w:rsidR="001C30B2" w:rsidRPr="00890522">
        <w:rPr>
          <w:spacing w:val="-6"/>
          <w:sz w:val="19"/>
          <w:szCs w:val="19"/>
          <w:lang w:val="pt-BR"/>
        </w:rPr>
        <w:t>https://doi.org/</w:t>
      </w:r>
      <w:r w:rsidRPr="00C82947">
        <w:rPr>
          <w:spacing w:val="-6"/>
          <w:sz w:val="19"/>
          <w:szCs w:val="19"/>
          <w:lang w:val="pt-BR"/>
        </w:rPr>
        <w:t xml:space="preserve">10.1542/peds.2008-2598. </w:t>
      </w:r>
      <w:r w:rsidRPr="002F73BA">
        <w:rPr>
          <w:spacing w:val="-6"/>
          <w:sz w:val="19"/>
          <w:szCs w:val="19"/>
          <w:lang w:val="en-US"/>
        </w:rPr>
        <w:t>Acesso em: 10 mar. 2025.</w:t>
      </w:r>
    </w:p>
    <w:p w14:paraId="31ECA97D" w14:textId="5925C6D2" w:rsidR="00FE7FC4" w:rsidRPr="00FE7FC4" w:rsidRDefault="00FE7FC4" w:rsidP="00C82947">
      <w:pPr>
        <w:spacing w:after="60"/>
        <w:ind w:left="284" w:right="40" w:hanging="284"/>
        <w:rPr>
          <w:spacing w:val="-6"/>
          <w:sz w:val="19"/>
          <w:szCs w:val="19"/>
        </w:rPr>
      </w:pPr>
      <w:r w:rsidRPr="00FE7FC4">
        <w:rPr>
          <w:spacing w:val="-6"/>
          <w:sz w:val="19"/>
          <w:szCs w:val="19"/>
          <w:lang w:val="en-US"/>
        </w:rPr>
        <w:t>MIKLOWITZ, D</w:t>
      </w:r>
      <w:r w:rsidR="00890522">
        <w:rPr>
          <w:spacing w:val="-6"/>
          <w:sz w:val="19"/>
          <w:szCs w:val="19"/>
          <w:lang w:val="en-US"/>
        </w:rPr>
        <w:t>.</w:t>
      </w:r>
      <w:r w:rsidRPr="00FE7FC4">
        <w:rPr>
          <w:spacing w:val="-6"/>
          <w:sz w:val="19"/>
          <w:szCs w:val="19"/>
          <w:lang w:val="en-US"/>
        </w:rPr>
        <w:t xml:space="preserve"> J.; EFTHIMIOU, O</w:t>
      </w:r>
      <w:r w:rsidR="00890522">
        <w:rPr>
          <w:spacing w:val="-6"/>
          <w:sz w:val="19"/>
          <w:szCs w:val="19"/>
          <w:lang w:val="en-US"/>
        </w:rPr>
        <w:t>.</w:t>
      </w:r>
      <w:r w:rsidRPr="00FE7FC4">
        <w:rPr>
          <w:spacing w:val="-6"/>
          <w:sz w:val="19"/>
          <w:szCs w:val="19"/>
          <w:lang w:val="en-US"/>
        </w:rPr>
        <w:t>; FURUKAWA, T</w:t>
      </w:r>
      <w:r w:rsidR="00890522">
        <w:rPr>
          <w:spacing w:val="-6"/>
          <w:sz w:val="19"/>
          <w:szCs w:val="19"/>
          <w:lang w:val="en-US"/>
        </w:rPr>
        <w:t>.</w:t>
      </w:r>
      <w:r w:rsidRPr="00FE7FC4">
        <w:rPr>
          <w:spacing w:val="-6"/>
          <w:sz w:val="19"/>
          <w:szCs w:val="19"/>
          <w:lang w:val="en-US"/>
        </w:rPr>
        <w:t xml:space="preserve"> A.; SCOTT, J</w:t>
      </w:r>
      <w:r w:rsidR="00890522">
        <w:rPr>
          <w:spacing w:val="-6"/>
          <w:sz w:val="19"/>
          <w:szCs w:val="19"/>
          <w:lang w:val="en-US"/>
        </w:rPr>
        <w:t>.</w:t>
      </w:r>
      <w:r w:rsidRPr="00FE7FC4">
        <w:rPr>
          <w:spacing w:val="-6"/>
          <w:sz w:val="19"/>
          <w:szCs w:val="19"/>
          <w:lang w:val="en-US"/>
        </w:rPr>
        <w:t xml:space="preserve">; </w:t>
      </w:r>
      <w:proofErr w:type="spellStart"/>
      <w:r w:rsidRPr="00FE7FC4">
        <w:rPr>
          <w:spacing w:val="-6"/>
          <w:sz w:val="19"/>
          <w:szCs w:val="19"/>
          <w:lang w:val="en-US"/>
        </w:rPr>
        <w:t>McLAREN</w:t>
      </w:r>
      <w:proofErr w:type="spellEnd"/>
      <w:r w:rsidRPr="00FE7FC4">
        <w:rPr>
          <w:spacing w:val="-6"/>
          <w:sz w:val="19"/>
          <w:szCs w:val="19"/>
          <w:lang w:val="en-US"/>
        </w:rPr>
        <w:t>, R</w:t>
      </w:r>
      <w:r w:rsidR="00890522">
        <w:rPr>
          <w:spacing w:val="-6"/>
          <w:sz w:val="19"/>
          <w:szCs w:val="19"/>
          <w:lang w:val="en-US"/>
        </w:rPr>
        <w:t>.</w:t>
      </w:r>
      <w:r w:rsidRPr="00FE7FC4">
        <w:rPr>
          <w:spacing w:val="-6"/>
          <w:sz w:val="19"/>
          <w:szCs w:val="19"/>
          <w:lang w:val="en-US"/>
        </w:rPr>
        <w:t>; GEDDES, J</w:t>
      </w:r>
      <w:r w:rsidR="00890522">
        <w:rPr>
          <w:spacing w:val="-6"/>
          <w:sz w:val="19"/>
          <w:szCs w:val="19"/>
          <w:lang w:val="en-US"/>
        </w:rPr>
        <w:t>.</w:t>
      </w:r>
      <w:r w:rsidRPr="00FE7FC4">
        <w:rPr>
          <w:spacing w:val="-6"/>
          <w:sz w:val="19"/>
          <w:szCs w:val="19"/>
          <w:lang w:val="en-US"/>
        </w:rPr>
        <w:t xml:space="preserve"> R.; CIPRIANI, A. Adjunctive Psychotherapy for Bipolar Disorder: A Systematic Review and Component Network Meta-analysis. </w:t>
      </w:r>
      <w:r w:rsidRPr="00FE7FC4">
        <w:rPr>
          <w:spacing w:val="-6"/>
          <w:sz w:val="19"/>
          <w:szCs w:val="19"/>
        </w:rPr>
        <w:t xml:space="preserve">JAMA </w:t>
      </w:r>
      <w:proofErr w:type="spellStart"/>
      <w:r w:rsidRPr="00FE7FC4">
        <w:rPr>
          <w:spacing w:val="-6"/>
          <w:sz w:val="19"/>
          <w:szCs w:val="19"/>
        </w:rPr>
        <w:t>Psychiatry</w:t>
      </w:r>
      <w:proofErr w:type="spellEnd"/>
      <w:r w:rsidRPr="00FE7FC4">
        <w:rPr>
          <w:spacing w:val="-6"/>
          <w:sz w:val="19"/>
          <w:szCs w:val="19"/>
        </w:rPr>
        <w:t xml:space="preserve">, v. 78, n. 2, p. 141-150, 2021. Disponível em: </w:t>
      </w:r>
      <w:r w:rsidR="001C30B2" w:rsidRPr="002F73BA">
        <w:rPr>
          <w:spacing w:val="-6"/>
          <w:sz w:val="19"/>
          <w:szCs w:val="19"/>
          <w:lang w:val="pt-BR"/>
        </w:rPr>
        <w:t>https://doi.org/</w:t>
      </w:r>
      <w:r w:rsidRPr="00FE7FC4">
        <w:rPr>
          <w:spacing w:val="-6"/>
          <w:sz w:val="19"/>
          <w:szCs w:val="19"/>
        </w:rPr>
        <w:t>10.1001/jamapsychiatry.2020.2993. Acesso em: 15 mar. 2025.</w:t>
      </w:r>
    </w:p>
    <w:p w14:paraId="26A54D8C" w14:textId="3A199CE1" w:rsidR="00FE7FC4" w:rsidRPr="00FE7FC4" w:rsidRDefault="00FE7FC4" w:rsidP="00C82947">
      <w:pPr>
        <w:spacing w:after="60"/>
        <w:ind w:left="284" w:right="40" w:hanging="284"/>
        <w:rPr>
          <w:spacing w:val="-6"/>
          <w:sz w:val="19"/>
          <w:szCs w:val="19"/>
        </w:rPr>
      </w:pPr>
      <w:r w:rsidRPr="005F6655">
        <w:rPr>
          <w:spacing w:val="-6"/>
          <w:sz w:val="19"/>
          <w:szCs w:val="19"/>
          <w:lang w:val="pt-BR"/>
        </w:rPr>
        <w:t>MISSAWA, D</w:t>
      </w:r>
      <w:r w:rsidR="00EF054A" w:rsidRPr="005F6655">
        <w:rPr>
          <w:spacing w:val="-6"/>
          <w:sz w:val="19"/>
          <w:szCs w:val="19"/>
          <w:lang w:val="pt-BR"/>
        </w:rPr>
        <w:t>.</w:t>
      </w:r>
      <w:r w:rsidRPr="005F6655">
        <w:rPr>
          <w:spacing w:val="-6"/>
          <w:sz w:val="19"/>
          <w:szCs w:val="19"/>
          <w:lang w:val="pt-BR"/>
        </w:rPr>
        <w:t xml:space="preserve"> D</w:t>
      </w:r>
      <w:r w:rsidR="00EF054A" w:rsidRPr="005F6655">
        <w:rPr>
          <w:spacing w:val="-6"/>
          <w:sz w:val="19"/>
          <w:szCs w:val="19"/>
          <w:lang w:val="pt-BR"/>
        </w:rPr>
        <w:t>.</w:t>
      </w:r>
      <w:r w:rsidRPr="005F6655">
        <w:rPr>
          <w:spacing w:val="-6"/>
          <w:sz w:val="19"/>
          <w:szCs w:val="19"/>
          <w:lang w:val="pt-BR"/>
        </w:rPr>
        <w:t xml:space="preserve"> A</w:t>
      </w:r>
      <w:r w:rsidR="00EF054A" w:rsidRPr="005F6655">
        <w:rPr>
          <w:spacing w:val="-6"/>
          <w:sz w:val="19"/>
          <w:szCs w:val="19"/>
          <w:lang w:val="pt-BR"/>
        </w:rPr>
        <w:t>.</w:t>
      </w:r>
      <w:r w:rsidRPr="005F6655">
        <w:rPr>
          <w:spacing w:val="-6"/>
          <w:sz w:val="19"/>
          <w:szCs w:val="19"/>
          <w:lang w:val="pt-BR"/>
        </w:rPr>
        <w:t>; ROSSETTI, C</w:t>
      </w:r>
      <w:r w:rsidR="00EF054A" w:rsidRPr="005F6655">
        <w:rPr>
          <w:spacing w:val="-6"/>
          <w:sz w:val="19"/>
          <w:szCs w:val="19"/>
          <w:lang w:val="pt-BR"/>
        </w:rPr>
        <w:t xml:space="preserve">. </w:t>
      </w:r>
      <w:r w:rsidRPr="005F6655">
        <w:rPr>
          <w:spacing w:val="-6"/>
          <w:sz w:val="19"/>
          <w:szCs w:val="19"/>
          <w:lang w:val="pt-BR"/>
        </w:rPr>
        <w:t xml:space="preserve">B. </w:t>
      </w:r>
      <w:r w:rsidRPr="00FE7FC4">
        <w:rPr>
          <w:spacing w:val="-6"/>
          <w:sz w:val="19"/>
          <w:szCs w:val="19"/>
        </w:rPr>
        <w:t xml:space="preserve">Psicólogos e TDAH: possíveis caminhos para diagnóstico e tratamento. </w:t>
      </w:r>
      <w:proofErr w:type="spellStart"/>
      <w:r w:rsidRPr="00FE7FC4">
        <w:rPr>
          <w:spacing w:val="-6"/>
          <w:sz w:val="19"/>
          <w:szCs w:val="19"/>
        </w:rPr>
        <w:t>Constr</w:t>
      </w:r>
      <w:proofErr w:type="spellEnd"/>
      <w:r w:rsidRPr="00FE7FC4">
        <w:rPr>
          <w:spacing w:val="-6"/>
          <w:sz w:val="19"/>
          <w:szCs w:val="19"/>
        </w:rPr>
        <w:t xml:space="preserve">. </w:t>
      </w:r>
      <w:proofErr w:type="spellStart"/>
      <w:r w:rsidR="005F6655" w:rsidRPr="00FE7FC4">
        <w:rPr>
          <w:spacing w:val="-6"/>
          <w:sz w:val="19"/>
          <w:szCs w:val="19"/>
        </w:rPr>
        <w:t>P</w:t>
      </w:r>
      <w:r w:rsidRPr="00FE7FC4">
        <w:rPr>
          <w:spacing w:val="-6"/>
          <w:sz w:val="19"/>
          <w:szCs w:val="19"/>
        </w:rPr>
        <w:t>sicopedag</w:t>
      </w:r>
      <w:proofErr w:type="spellEnd"/>
      <w:r w:rsidR="005F6655">
        <w:rPr>
          <w:spacing w:val="-6"/>
          <w:sz w:val="19"/>
          <w:szCs w:val="19"/>
        </w:rPr>
        <w:t>,</w:t>
      </w:r>
      <w:r w:rsidRPr="00FE7FC4">
        <w:rPr>
          <w:spacing w:val="-6"/>
          <w:sz w:val="19"/>
          <w:szCs w:val="19"/>
        </w:rPr>
        <w:t xml:space="preserve"> v.</w:t>
      </w:r>
      <w:r w:rsidR="00FC05C0">
        <w:rPr>
          <w:spacing w:val="-6"/>
          <w:sz w:val="19"/>
          <w:szCs w:val="19"/>
        </w:rPr>
        <w:t xml:space="preserve"> </w:t>
      </w:r>
      <w:r w:rsidRPr="00FE7FC4">
        <w:rPr>
          <w:spacing w:val="-6"/>
          <w:sz w:val="19"/>
          <w:szCs w:val="19"/>
        </w:rPr>
        <w:t>22, n.</w:t>
      </w:r>
      <w:r w:rsidR="00FC05C0">
        <w:rPr>
          <w:spacing w:val="-6"/>
          <w:sz w:val="19"/>
          <w:szCs w:val="19"/>
        </w:rPr>
        <w:t xml:space="preserve"> </w:t>
      </w:r>
      <w:r w:rsidRPr="00FE7FC4">
        <w:rPr>
          <w:spacing w:val="-6"/>
          <w:sz w:val="19"/>
          <w:szCs w:val="19"/>
        </w:rPr>
        <w:t>23, pp.</w:t>
      </w:r>
      <w:r w:rsidR="00FC05C0">
        <w:rPr>
          <w:spacing w:val="-6"/>
          <w:sz w:val="19"/>
          <w:szCs w:val="19"/>
        </w:rPr>
        <w:t xml:space="preserve"> </w:t>
      </w:r>
      <w:r w:rsidRPr="00FE7FC4">
        <w:rPr>
          <w:spacing w:val="-6"/>
          <w:sz w:val="19"/>
          <w:szCs w:val="19"/>
        </w:rPr>
        <w:t>81-90</w:t>
      </w:r>
      <w:r w:rsidR="005F6655">
        <w:rPr>
          <w:spacing w:val="-6"/>
          <w:sz w:val="19"/>
          <w:szCs w:val="19"/>
        </w:rPr>
        <w:t>, 2014.</w:t>
      </w:r>
      <w:r w:rsidRPr="00FE7FC4">
        <w:rPr>
          <w:spacing w:val="-6"/>
          <w:sz w:val="19"/>
          <w:szCs w:val="19"/>
        </w:rPr>
        <w:t xml:space="preserve"> Disponível em: https://pepsic.bvsalud.org/pdf/cp/v22n23/07.pdf. Acesso em: 6 jun. 2025.</w:t>
      </w:r>
    </w:p>
    <w:p w14:paraId="4D6D01A7" w14:textId="3B632A3F" w:rsidR="00FE7FC4" w:rsidRPr="00FE7FC4" w:rsidRDefault="00FE7FC4" w:rsidP="00C82947">
      <w:pPr>
        <w:spacing w:after="60"/>
        <w:ind w:left="284" w:right="40" w:hanging="284"/>
        <w:rPr>
          <w:spacing w:val="-6"/>
          <w:sz w:val="19"/>
          <w:szCs w:val="19"/>
          <w:lang w:val="en-US"/>
        </w:rPr>
      </w:pPr>
      <w:r w:rsidRPr="00FE7FC4">
        <w:rPr>
          <w:spacing w:val="-6"/>
          <w:sz w:val="19"/>
          <w:szCs w:val="19"/>
        </w:rPr>
        <w:t xml:space="preserve">PANTOJA, A. F.; LEITE, J. P.; DE PAULA, L. C.; SALGE, C. B. F.; MATTOS, T. B.; REIS, G. A.; </w:t>
      </w:r>
      <w:proofErr w:type="spellStart"/>
      <w:r w:rsidRPr="00FE7FC4">
        <w:rPr>
          <w:spacing w:val="-6"/>
          <w:sz w:val="19"/>
          <w:szCs w:val="19"/>
        </w:rPr>
        <w:t>et</w:t>
      </w:r>
      <w:proofErr w:type="spellEnd"/>
      <w:r w:rsidRPr="00FE7FC4">
        <w:rPr>
          <w:spacing w:val="-6"/>
          <w:sz w:val="19"/>
          <w:szCs w:val="19"/>
        </w:rPr>
        <w:t xml:space="preserve"> al. Neurociência e TDAH: Explorando Conexões Cerebrais e Avanços em Intervenções Terapêuticas. </w:t>
      </w:r>
      <w:r w:rsidRPr="00FE7FC4">
        <w:rPr>
          <w:spacing w:val="-6"/>
          <w:sz w:val="19"/>
          <w:szCs w:val="19"/>
          <w:lang w:val="en-US"/>
        </w:rPr>
        <w:t xml:space="preserve">Brazilian Journal of Implantology and Health Sciences, v. 6, n. 1, p. 471-490, 2024.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w:t>
      </w:r>
      <w:r w:rsidR="001C30B2">
        <w:rPr>
          <w:spacing w:val="-6"/>
          <w:sz w:val="19"/>
          <w:szCs w:val="19"/>
          <w:lang w:val="en-US"/>
        </w:rPr>
        <w:t xml:space="preserve"> </w:t>
      </w:r>
      <w:r w:rsidRPr="00FE7FC4">
        <w:rPr>
          <w:spacing w:val="-6"/>
          <w:sz w:val="19"/>
          <w:szCs w:val="19"/>
          <w:lang w:val="en-US"/>
        </w:rPr>
        <w:t xml:space="preserve">https://doi.org/10.36557/2674-8169.2023v6n1p471-490.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10 </w:t>
      </w:r>
      <w:proofErr w:type="gramStart"/>
      <w:r w:rsidRPr="00FE7FC4">
        <w:rPr>
          <w:spacing w:val="-6"/>
          <w:sz w:val="19"/>
          <w:szCs w:val="19"/>
          <w:lang w:val="en-US"/>
        </w:rPr>
        <w:t>mar</w:t>
      </w:r>
      <w:proofErr w:type="gramEnd"/>
      <w:r w:rsidRPr="00FE7FC4">
        <w:rPr>
          <w:spacing w:val="-6"/>
          <w:sz w:val="19"/>
          <w:szCs w:val="19"/>
          <w:lang w:val="en-US"/>
        </w:rPr>
        <w:t>. 2025.</w:t>
      </w:r>
    </w:p>
    <w:p w14:paraId="199AFFBB" w14:textId="6AFD5A01" w:rsidR="00FE7FC4" w:rsidRPr="00FE7FC4" w:rsidRDefault="00FE7FC4" w:rsidP="00C82947">
      <w:pPr>
        <w:spacing w:after="60"/>
        <w:ind w:left="284" w:right="40" w:hanging="284"/>
        <w:rPr>
          <w:spacing w:val="-6"/>
          <w:sz w:val="19"/>
          <w:szCs w:val="19"/>
        </w:rPr>
      </w:pPr>
      <w:r w:rsidRPr="00FE7FC4">
        <w:rPr>
          <w:spacing w:val="-6"/>
          <w:sz w:val="19"/>
          <w:szCs w:val="19"/>
          <w:lang w:val="en-US"/>
        </w:rPr>
        <w:t>POLANCZYK, G</w:t>
      </w:r>
      <w:r w:rsidR="00FC05C0">
        <w:rPr>
          <w:spacing w:val="-6"/>
          <w:sz w:val="19"/>
          <w:szCs w:val="19"/>
          <w:lang w:val="en-US"/>
        </w:rPr>
        <w:t>.</w:t>
      </w:r>
      <w:r w:rsidRPr="00FE7FC4">
        <w:rPr>
          <w:spacing w:val="-6"/>
          <w:sz w:val="19"/>
          <w:szCs w:val="19"/>
          <w:lang w:val="en-US"/>
        </w:rPr>
        <w:t xml:space="preserve"> V.; SALUM, G</w:t>
      </w:r>
      <w:r w:rsidR="00FC05C0">
        <w:rPr>
          <w:spacing w:val="-6"/>
          <w:sz w:val="19"/>
          <w:szCs w:val="19"/>
          <w:lang w:val="en-US"/>
        </w:rPr>
        <w:t>.</w:t>
      </w:r>
      <w:r w:rsidRPr="00FE7FC4">
        <w:rPr>
          <w:spacing w:val="-6"/>
          <w:sz w:val="19"/>
          <w:szCs w:val="19"/>
          <w:lang w:val="en-US"/>
        </w:rPr>
        <w:t xml:space="preserve"> A.; SUGAYA, L</w:t>
      </w:r>
      <w:r w:rsidR="00FC05C0">
        <w:rPr>
          <w:spacing w:val="-6"/>
          <w:sz w:val="19"/>
          <w:szCs w:val="19"/>
          <w:lang w:val="en-US"/>
        </w:rPr>
        <w:t>.</w:t>
      </w:r>
      <w:r w:rsidRPr="00FE7FC4">
        <w:rPr>
          <w:spacing w:val="-6"/>
          <w:sz w:val="19"/>
          <w:szCs w:val="19"/>
          <w:lang w:val="en-US"/>
        </w:rPr>
        <w:t xml:space="preserve"> S.; CAYE, A</w:t>
      </w:r>
      <w:r w:rsidR="00FC05C0">
        <w:rPr>
          <w:spacing w:val="-6"/>
          <w:sz w:val="19"/>
          <w:szCs w:val="19"/>
          <w:lang w:val="en-US"/>
        </w:rPr>
        <w:t>.</w:t>
      </w:r>
      <w:r w:rsidRPr="00FE7FC4">
        <w:rPr>
          <w:spacing w:val="-6"/>
          <w:sz w:val="19"/>
          <w:szCs w:val="19"/>
          <w:lang w:val="en-US"/>
        </w:rPr>
        <w:t>; ROHDE, L</w:t>
      </w:r>
      <w:r w:rsidR="00FC05C0">
        <w:rPr>
          <w:spacing w:val="-6"/>
          <w:sz w:val="19"/>
          <w:szCs w:val="19"/>
          <w:lang w:val="en-US"/>
        </w:rPr>
        <w:t>.</w:t>
      </w:r>
      <w:r w:rsidRPr="00FE7FC4">
        <w:rPr>
          <w:spacing w:val="-6"/>
          <w:sz w:val="19"/>
          <w:szCs w:val="19"/>
          <w:lang w:val="en-US"/>
        </w:rPr>
        <w:t xml:space="preserve">A. Annual research review: A meta-analysis of the worldwide prevalence of mental disorders in children and adolescents. Journal of Child Psychology and Psychiatry, v. 56, n. 3, p. 345–365, 2015. </w:t>
      </w:r>
      <w:proofErr w:type="spellStart"/>
      <w:r w:rsidRPr="001C30B2">
        <w:rPr>
          <w:spacing w:val="-6"/>
          <w:sz w:val="19"/>
          <w:szCs w:val="19"/>
          <w:lang w:val="en-US"/>
        </w:rPr>
        <w:t>Disponível</w:t>
      </w:r>
      <w:proofErr w:type="spellEnd"/>
      <w:r w:rsidRPr="001C30B2">
        <w:rPr>
          <w:spacing w:val="-6"/>
          <w:sz w:val="19"/>
          <w:szCs w:val="19"/>
          <w:lang w:val="en-US"/>
        </w:rPr>
        <w:t xml:space="preserve"> </w:t>
      </w:r>
      <w:proofErr w:type="spellStart"/>
      <w:r w:rsidRPr="001C30B2">
        <w:rPr>
          <w:spacing w:val="-6"/>
          <w:sz w:val="19"/>
          <w:szCs w:val="19"/>
          <w:lang w:val="en-US"/>
        </w:rPr>
        <w:t>em</w:t>
      </w:r>
      <w:proofErr w:type="spellEnd"/>
      <w:r w:rsidRPr="001C30B2">
        <w:rPr>
          <w:spacing w:val="-6"/>
          <w:sz w:val="19"/>
          <w:szCs w:val="19"/>
          <w:lang w:val="en-US"/>
        </w:rPr>
        <w:t>:</w:t>
      </w:r>
      <w:r w:rsidR="00196D2B" w:rsidRPr="001C30B2">
        <w:rPr>
          <w:spacing w:val="-6"/>
          <w:sz w:val="19"/>
          <w:szCs w:val="19"/>
          <w:lang w:val="en-US"/>
        </w:rPr>
        <w:t xml:space="preserve"> </w:t>
      </w:r>
      <w:r w:rsidR="00B22F01" w:rsidRPr="00FE7FC4">
        <w:rPr>
          <w:spacing w:val="-6"/>
          <w:sz w:val="19"/>
          <w:szCs w:val="19"/>
          <w:lang w:val="en-US"/>
        </w:rPr>
        <w:t>https://doi.org/</w:t>
      </w:r>
      <w:r w:rsidRPr="001C30B2">
        <w:rPr>
          <w:spacing w:val="-6"/>
          <w:sz w:val="19"/>
          <w:szCs w:val="19"/>
          <w:lang w:val="en-US"/>
        </w:rPr>
        <w:t xml:space="preserve">10.1111/jcpp.12381. </w:t>
      </w:r>
      <w:r w:rsidRPr="00FE7FC4">
        <w:rPr>
          <w:spacing w:val="-6"/>
          <w:sz w:val="19"/>
          <w:szCs w:val="19"/>
        </w:rPr>
        <w:t>Acesso em 22 de abril de 2025.</w:t>
      </w:r>
    </w:p>
    <w:p w14:paraId="4F332FBA" w14:textId="2EA89244" w:rsidR="00FE7FC4" w:rsidRPr="002F73BA" w:rsidRDefault="00FE7FC4" w:rsidP="00C82947">
      <w:pPr>
        <w:spacing w:after="60"/>
        <w:ind w:left="284" w:right="40" w:hanging="284"/>
        <w:rPr>
          <w:spacing w:val="-6"/>
          <w:sz w:val="19"/>
          <w:szCs w:val="19"/>
          <w:lang w:val="en-US"/>
        </w:rPr>
      </w:pPr>
      <w:r w:rsidRPr="00FE7FC4">
        <w:rPr>
          <w:spacing w:val="-6"/>
          <w:sz w:val="19"/>
          <w:szCs w:val="19"/>
        </w:rPr>
        <w:t>PORTO, E</w:t>
      </w:r>
      <w:r w:rsidR="000D3C5F">
        <w:rPr>
          <w:spacing w:val="-6"/>
          <w:sz w:val="19"/>
          <w:szCs w:val="19"/>
        </w:rPr>
        <w:t xml:space="preserve">. </w:t>
      </w:r>
      <w:r w:rsidRPr="00FE7FC4">
        <w:rPr>
          <w:spacing w:val="-6"/>
          <w:sz w:val="19"/>
          <w:szCs w:val="19"/>
        </w:rPr>
        <w:t>R</w:t>
      </w:r>
      <w:r w:rsidR="000D3C5F">
        <w:rPr>
          <w:spacing w:val="-6"/>
          <w:sz w:val="19"/>
          <w:szCs w:val="19"/>
        </w:rPr>
        <w:t>.</w:t>
      </w:r>
      <w:r w:rsidRPr="00FE7FC4">
        <w:rPr>
          <w:spacing w:val="-6"/>
          <w:sz w:val="19"/>
          <w:szCs w:val="19"/>
        </w:rPr>
        <w:t xml:space="preserve"> S</w:t>
      </w:r>
      <w:r w:rsidR="000D3C5F">
        <w:rPr>
          <w:spacing w:val="-6"/>
          <w:sz w:val="19"/>
          <w:szCs w:val="19"/>
        </w:rPr>
        <w:t>.</w:t>
      </w:r>
      <w:r w:rsidRPr="00FE7FC4">
        <w:rPr>
          <w:spacing w:val="-6"/>
          <w:sz w:val="19"/>
          <w:szCs w:val="19"/>
        </w:rPr>
        <w:t xml:space="preserve"> N</w:t>
      </w:r>
      <w:r w:rsidR="000D3C5F">
        <w:rPr>
          <w:spacing w:val="-6"/>
          <w:sz w:val="19"/>
          <w:szCs w:val="19"/>
        </w:rPr>
        <w:t>.</w:t>
      </w:r>
      <w:r w:rsidRPr="00FE7FC4">
        <w:rPr>
          <w:spacing w:val="-6"/>
          <w:sz w:val="19"/>
          <w:szCs w:val="19"/>
        </w:rPr>
        <w:t>; OLIVEIRA, C</w:t>
      </w:r>
      <w:r w:rsidR="000D3C5F">
        <w:rPr>
          <w:spacing w:val="-6"/>
          <w:sz w:val="19"/>
          <w:szCs w:val="19"/>
        </w:rPr>
        <w:t xml:space="preserve">. </w:t>
      </w:r>
      <w:r w:rsidRPr="00FE7FC4">
        <w:rPr>
          <w:spacing w:val="-6"/>
          <w:sz w:val="19"/>
          <w:szCs w:val="19"/>
        </w:rPr>
        <w:t>R</w:t>
      </w:r>
      <w:r w:rsidR="000D3C5F">
        <w:rPr>
          <w:spacing w:val="-6"/>
          <w:sz w:val="19"/>
          <w:szCs w:val="19"/>
        </w:rPr>
        <w:t>.</w:t>
      </w:r>
      <w:r w:rsidRPr="00FE7FC4">
        <w:rPr>
          <w:spacing w:val="-6"/>
          <w:sz w:val="19"/>
          <w:szCs w:val="19"/>
        </w:rPr>
        <w:t xml:space="preserve"> de M</w:t>
      </w:r>
      <w:r w:rsidR="000D3C5F">
        <w:rPr>
          <w:spacing w:val="-6"/>
          <w:sz w:val="19"/>
          <w:szCs w:val="19"/>
        </w:rPr>
        <w:t>.</w:t>
      </w:r>
      <w:r w:rsidRPr="00FE7FC4">
        <w:rPr>
          <w:spacing w:val="-6"/>
          <w:sz w:val="19"/>
          <w:szCs w:val="19"/>
        </w:rPr>
        <w:t>; NEVES, T</w:t>
      </w:r>
      <w:r w:rsidR="000D3C5F">
        <w:rPr>
          <w:spacing w:val="-6"/>
          <w:sz w:val="19"/>
          <w:szCs w:val="19"/>
        </w:rPr>
        <w:t xml:space="preserve">. </w:t>
      </w:r>
      <w:r w:rsidRPr="00FE7FC4">
        <w:rPr>
          <w:spacing w:val="-6"/>
          <w:sz w:val="19"/>
          <w:szCs w:val="19"/>
        </w:rPr>
        <w:t>R</w:t>
      </w:r>
      <w:r w:rsidR="000D3C5F">
        <w:rPr>
          <w:spacing w:val="-6"/>
          <w:sz w:val="19"/>
          <w:szCs w:val="19"/>
        </w:rPr>
        <w:t xml:space="preserve">. </w:t>
      </w:r>
      <w:r w:rsidRPr="00FE7FC4">
        <w:rPr>
          <w:spacing w:val="-6"/>
          <w:sz w:val="19"/>
          <w:szCs w:val="19"/>
        </w:rPr>
        <w:t>de C</w:t>
      </w:r>
      <w:r w:rsidR="000D3C5F">
        <w:rPr>
          <w:spacing w:val="-6"/>
          <w:sz w:val="19"/>
          <w:szCs w:val="19"/>
        </w:rPr>
        <w:t>.</w:t>
      </w:r>
      <w:r w:rsidRPr="00FE7FC4">
        <w:rPr>
          <w:spacing w:val="-6"/>
          <w:sz w:val="19"/>
          <w:szCs w:val="19"/>
        </w:rPr>
        <w:t>; MENDONÇA, M</w:t>
      </w:r>
      <w:r w:rsidR="000D3C5F">
        <w:rPr>
          <w:spacing w:val="-6"/>
          <w:sz w:val="19"/>
          <w:szCs w:val="19"/>
        </w:rPr>
        <w:t>.</w:t>
      </w:r>
      <w:r w:rsidRPr="00FE7FC4">
        <w:rPr>
          <w:spacing w:val="-6"/>
          <w:sz w:val="19"/>
          <w:szCs w:val="19"/>
        </w:rPr>
        <w:t xml:space="preserve"> A. Uma abordagem geral do transtorno bipolar. Revista Eletrônica Acervo Médico, v. 23, n. 5, e12829, 2023. Disponível em: https://doi.org/10.25248/reamed.e12829.2023. </w:t>
      </w:r>
      <w:r w:rsidRPr="002F73BA">
        <w:rPr>
          <w:spacing w:val="-6"/>
          <w:sz w:val="19"/>
          <w:szCs w:val="19"/>
          <w:lang w:val="en-US"/>
        </w:rPr>
        <w:t>Acesso em: 25 abr. 2025.</w:t>
      </w:r>
    </w:p>
    <w:p w14:paraId="11C18178" w14:textId="4B33E677" w:rsidR="00FE7FC4" w:rsidRPr="00FE7FC4" w:rsidRDefault="00FE7FC4" w:rsidP="00C82947">
      <w:pPr>
        <w:spacing w:after="60"/>
        <w:ind w:left="284" w:right="40" w:hanging="284"/>
        <w:rPr>
          <w:spacing w:val="-6"/>
          <w:sz w:val="19"/>
          <w:szCs w:val="19"/>
          <w:lang w:val="pt-BR"/>
        </w:rPr>
      </w:pPr>
      <w:r w:rsidRPr="00FE7FC4">
        <w:rPr>
          <w:spacing w:val="-6"/>
          <w:sz w:val="19"/>
          <w:szCs w:val="19"/>
          <w:lang w:val="en-US"/>
        </w:rPr>
        <w:t>RODRIGUES, R</w:t>
      </w:r>
      <w:r w:rsidR="000D3C5F">
        <w:rPr>
          <w:spacing w:val="-6"/>
          <w:sz w:val="19"/>
          <w:szCs w:val="19"/>
          <w:lang w:val="en-US"/>
        </w:rPr>
        <w:t>.</w:t>
      </w:r>
      <w:r w:rsidRPr="00FE7FC4">
        <w:rPr>
          <w:spacing w:val="-6"/>
          <w:sz w:val="19"/>
          <w:szCs w:val="19"/>
          <w:lang w:val="en-US"/>
        </w:rPr>
        <w:t>; LAI, M</w:t>
      </w:r>
      <w:r w:rsidR="000D3C5F">
        <w:rPr>
          <w:spacing w:val="-6"/>
          <w:sz w:val="19"/>
          <w:szCs w:val="19"/>
          <w:lang w:val="en-US"/>
        </w:rPr>
        <w:t>.</w:t>
      </w:r>
      <w:r w:rsidRPr="00FE7FC4">
        <w:rPr>
          <w:spacing w:val="-6"/>
          <w:sz w:val="19"/>
          <w:szCs w:val="19"/>
          <w:lang w:val="en-US"/>
        </w:rPr>
        <w:t>-C</w:t>
      </w:r>
      <w:r w:rsidR="000D3C5F">
        <w:rPr>
          <w:spacing w:val="-6"/>
          <w:sz w:val="19"/>
          <w:szCs w:val="19"/>
          <w:lang w:val="en-US"/>
        </w:rPr>
        <w:t>.</w:t>
      </w:r>
      <w:r w:rsidRPr="00FE7FC4">
        <w:rPr>
          <w:spacing w:val="-6"/>
          <w:sz w:val="19"/>
          <w:szCs w:val="19"/>
          <w:lang w:val="en-US"/>
        </w:rPr>
        <w:t>; BESWICK, A</w:t>
      </w:r>
      <w:r w:rsidR="000D3C5F">
        <w:rPr>
          <w:spacing w:val="-6"/>
          <w:sz w:val="19"/>
          <w:szCs w:val="19"/>
          <w:lang w:val="en-US"/>
        </w:rPr>
        <w:t>.</w:t>
      </w:r>
      <w:r w:rsidRPr="00FE7FC4">
        <w:rPr>
          <w:spacing w:val="-6"/>
          <w:sz w:val="19"/>
          <w:szCs w:val="19"/>
          <w:lang w:val="en-US"/>
        </w:rPr>
        <w:t>; GORMAN, D</w:t>
      </w:r>
      <w:r w:rsidR="000D3C5F">
        <w:rPr>
          <w:spacing w:val="-6"/>
          <w:sz w:val="19"/>
          <w:szCs w:val="19"/>
          <w:lang w:val="en-US"/>
        </w:rPr>
        <w:t>.</w:t>
      </w:r>
      <w:r w:rsidRPr="00FE7FC4">
        <w:rPr>
          <w:spacing w:val="-6"/>
          <w:sz w:val="19"/>
          <w:szCs w:val="19"/>
          <w:lang w:val="en-US"/>
        </w:rPr>
        <w:t>A.; ANAGNOSTOU, E</w:t>
      </w:r>
      <w:r w:rsidR="000D3C5F">
        <w:rPr>
          <w:spacing w:val="-6"/>
          <w:sz w:val="19"/>
          <w:szCs w:val="19"/>
          <w:lang w:val="en-US"/>
        </w:rPr>
        <w:t>.</w:t>
      </w:r>
      <w:r w:rsidRPr="00FE7FC4">
        <w:rPr>
          <w:spacing w:val="-6"/>
          <w:sz w:val="19"/>
          <w:szCs w:val="19"/>
          <w:lang w:val="en-US"/>
        </w:rPr>
        <w:t>; SZATMARI, P</w:t>
      </w:r>
      <w:r w:rsidR="000D3C5F">
        <w:rPr>
          <w:spacing w:val="-6"/>
          <w:sz w:val="19"/>
          <w:szCs w:val="19"/>
          <w:lang w:val="en-US"/>
        </w:rPr>
        <w:t>.</w:t>
      </w:r>
      <w:r w:rsidRPr="00FE7FC4">
        <w:rPr>
          <w:spacing w:val="-6"/>
          <w:sz w:val="19"/>
          <w:szCs w:val="19"/>
          <w:lang w:val="en-US"/>
        </w:rPr>
        <w:t>; ANDERSON, K</w:t>
      </w:r>
      <w:r w:rsidR="000D3C5F">
        <w:rPr>
          <w:spacing w:val="-6"/>
          <w:sz w:val="19"/>
          <w:szCs w:val="19"/>
          <w:lang w:val="en-US"/>
        </w:rPr>
        <w:t>.</w:t>
      </w:r>
      <w:r w:rsidRPr="00FE7FC4">
        <w:rPr>
          <w:spacing w:val="-6"/>
          <w:sz w:val="19"/>
          <w:szCs w:val="19"/>
          <w:lang w:val="en-US"/>
        </w:rPr>
        <w:t xml:space="preserve"> K.; AMEIS, S</w:t>
      </w:r>
      <w:r w:rsidR="00062A4B">
        <w:rPr>
          <w:spacing w:val="-6"/>
          <w:sz w:val="19"/>
          <w:szCs w:val="19"/>
          <w:lang w:val="en-US"/>
        </w:rPr>
        <w:t>.</w:t>
      </w:r>
      <w:r w:rsidRPr="00FE7FC4">
        <w:rPr>
          <w:spacing w:val="-6"/>
          <w:sz w:val="19"/>
          <w:szCs w:val="19"/>
          <w:lang w:val="en-US"/>
        </w:rPr>
        <w:t xml:space="preserve">H. Practitioner review: Pharmacological treatment of attention-deficit/hyperactivity disorder symptoms in children and youth with autism spectrum disorder: a systematic review and meta-analysis. Journal of Child Psychology and Psychiatry, v. 62, n. 6, p. 680–700, 2021. </w:t>
      </w:r>
      <w:proofErr w:type="spellStart"/>
      <w:r w:rsidRPr="00D41ACF">
        <w:rPr>
          <w:spacing w:val="-6"/>
          <w:sz w:val="19"/>
          <w:szCs w:val="19"/>
          <w:lang w:val="en-US"/>
        </w:rPr>
        <w:t>Disponível</w:t>
      </w:r>
      <w:proofErr w:type="spellEnd"/>
      <w:r w:rsidRPr="00D41ACF">
        <w:rPr>
          <w:spacing w:val="-6"/>
          <w:sz w:val="19"/>
          <w:szCs w:val="19"/>
          <w:lang w:val="en-US"/>
        </w:rPr>
        <w:t xml:space="preserve"> </w:t>
      </w:r>
      <w:proofErr w:type="spellStart"/>
      <w:r w:rsidRPr="00D41ACF">
        <w:rPr>
          <w:spacing w:val="-6"/>
          <w:sz w:val="19"/>
          <w:szCs w:val="19"/>
          <w:lang w:val="en-US"/>
        </w:rPr>
        <w:t>em</w:t>
      </w:r>
      <w:proofErr w:type="spellEnd"/>
      <w:r w:rsidRPr="00D41ACF">
        <w:rPr>
          <w:spacing w:val="-6"/>
          <w:sz w:val="19"/>
          <w:szCs w:val="19"/>
          <w:lang w:val="en-US"/>
        </w:rPr>
        <w:t xml:space="preserve">: </w:t>
      </w:r>
      <w:r w:rsidR="00062A4B" w:rsidRPr="00D41ACF">
        <w:rPr>
          <w:spacing w:val="-6"/>
          <w:sz w:val="19"/>
          <w:szCs w:val="19"/>
          <w:lang w:val="en-US"/>
        </w:rPr>
        <w:t>https://doi.org/</w:t>
      </w:r>
      <w:r w:rsidRPr="00D41ACF">
        <w:rPr>
          <w:spacing w:val="-6"/>
          <w:sz w:val="19"/>
          <w:szCs w:val="19"/>
          <w:lang w:val="en-US"/>
        </w:rPr>
        <w:t xml:space="preserve">10.1111/jcpp.13305. </w:t>
      </w:r>
      <w:r w:rsidRPr="00FE7FC4">
        <w:rPr>
          <w:spacing w:val="-6"/>
          <w:sz w:val="19"/>
          <w:szCs w:val="19"/>
          <w:lang w:val="pt-BR"/>
        </w:rPr>
        <w:t>Acesso em: 02 mai. 2025.</w:t>
      </w:r>
    </w:p>
    <w:p w14:paraId="1217C0A9" w14:textId="77777777" w:rsidR="00FE7FC4" w:rsidRPr="00C82947" w:rsidRDefault="00FE7FC4" w:rsidP="00C82947">
      <w:pPr>
        <w:spacing w:after="60"/>
        <w:ind w:left="284" w:right="40" w:hanging="284"/>
        <w:rPr>
          <w:spacing w:val="-6"/>
          <w:sz w:val="19"/>
          <w:szCs w:val="19"/>
          <w:lang w:val="en-US"/>
        </w:rPr>
      </w:pPr>
      <w:r w:rsidRPr="00FE7FC4">
        <w:rPr>
          <w:spacing w:val="-6"/>
          <w:sz w:val="19"/>
          <w:szCs w:val="19"/>
        </w:rPr>
        <w:t xml:space="preserve">SADOCK, B. J.; SADOCK, V. A.; RUIZ, P. Compêndio de psiquiatria: ciência do comportamento e psiquiatria clínica. </w:t>
      </w:r>
      <w:r w:rsidRPr="00C82947">
        <w:rPr>
          <w:spacing w:val="-6"/>
          <w:sz w:val="19"/>
          <w:szCs w:val="19"/>
          <w:lang w:val="en-US"/>
        </w:rPr>
        <w:t xml:space="preserve">11. ed. Porto Alegre: </w:t>
      </w:r>
      <w:proofErr w:type="spellStart"/>
      <w:r w:rsidRPr="00C82947">
        <w:rPr>
          <w:spacing w:val="-6"/>
          <w:sz w:val="19"/>
          <w:szCs w:val="19"/>
          <w:lang w:val="en-US"/>
        </w:rPr>
        <w:t>Artmed</w:t>
      </w:r>
      <w:proofErr w:type="spellEnd"/>
      <w:r w:rsidRPr="00C82947">
        <w:rPr>
          <w:spacing w:val="-6"/>
          <w:sz w:val="19"/>
          <w:szCs w:val="19"/>
          <w:lang w:val="en-US"/>
        </w:rPr>
        <w:t>, 2017.</w:t>
      </w:r>
    </w:p>
    <w:p w14:paraId="1900796E" w14:textId="1DD30BA4" w:rsidR="00FE7FC4" w:rsidRPr="002F73BA" w:rsidRDefault="00FE7FC4" w:rsidP="00C82947">
      <w:pPr>
        <w:spacing w:after="60"/>
        <w:ind w:left="284" w:right="40" w:hanging="284"/>
        <w:rPr>
          <w:spacing w:val="-6"/>
          <w:sz w:val="19"/>
          <w:szCs w:val="19"/>
          <w:lang w:val="pt-BR"/>
        </w:rPr>
      </w:pPr>
      <w:r w:rsidRPr="00FE7FC4">
        <w:rPr>
          <w:spacing w:val="-6"/>
          <w:sz w:val="19"/>
          <w:szCs w:val="19"/>
          <w:lang w:val="en-US"/>
        </w:rPr>
        <w:t>SHAW, P</w:t>
      </w:r>
      <w:r w:rsidR="00D41ACF">
        <w:rPr>
          <w:spacing w:val="-6"/>
          <w:sz w:val="19"/>
          <w:szCs w:val="19"/>
          <w:lang w:val="en-US"/>
        </w:rPr>
        <w:t>.</w:t>
      </w:r>
      <w:r w:rsidRPr="00FE7FC4">
        <w:rPr>
          <w:spacing w:val="-6"/>
          <w:sz w:val="19"/>
          <w:szCs w:val="19"/>
          <w:lang w:val="en-US"/>
        </w:rPr>
        <w:t>; ECKSTRAND, K</w:t>
      </w:r>
      <w:r w:rsidR="00D41ACF">
        <w:rPr>
          <w:spacing w:val="-6"/>
          <w:sz w:val="19"/>
          <w:szCs w:val="19"/>
          <w:lang w:val="en-US"/>
        </w:rPr>
        <w:t>.</w:t>
      </w:r>
      <w:r w:rsidRPr="00FE7FC4">
        <w:rPr>
          <w:spacing w:val="-6"/>
          <w:sz w:val="19"/>
          <w:szCs w:val="19"/>
          <w:lang w:val="en-US"/>
        </w:rPr>
        <w:t>; SHARP, W</w:t>
      </w:r>
      <w:r w:rsidR="00D41ACF">
        <w:rPr>
          <w:spacing w:val="-6"/>
          <w:sz w:val="19"/>
          <w:szCs w:val="19"/>
          <w:lang w:val="en-US"/>
        </w:rPr>
        <w:t>.</w:t>
      </w:r>
      <w:r w:rsidRPr="00FE7FC4">
        <w:rPr>
          <w:spacing w:val="-6"/>
          <w:sz w:val="19"/>
          <w:szCs w:val="19"/>
          <w:lang w:val="en-US"/>
        </w:rPr>
        <w:t>; BLUMENTHAL, J</w:t>
      </w:r>
      <w:r w:rsidR="00D41ACF">
        <w:rPr>
          <w:spacing w:val="-6"/>
          <w:sz w:val="19"/>
          <w:szCs w:val="19"/>
          <w:lang w:val="en-US"/>
        </w:rPr>
        <w:t>.</w:t>
      </w:r>
      <w:r w:rsidRPr="00FE7FC4">
        <w:rPr>
          <w:spacing w:val="-6"/>
          <w:sz w:val="19"/>
          <w:szCs w:val="19"/>
          <w:lang w:val="en-US"/>
        </w:rPr>
        <w:t>; LERCH, J</w:t>
      </w:r>
      <w:r w:rsidR="00D41ACF">
        <w:rPr>
          <w:spacing w:val="-6"/>
          <w:sz w:val="19"/>
          <w:szCs w:val="19"/>
          <w:lang w:val="en-US"/>
        </w:rPr>
        <w:t>.</w:t>
      </w:r>
      <w:r w:rsidRPr="00FE7FC4">
        <w:rPr>
          <w:spacing w:val="-6"/>
          <w:sz w:val="19"/>
          <w:szCs w:val="19"/>
          <w:lang w:val="en-US"/>
        </w:rPr>
        <w:t xml:space="preserve"> P.; GREENSTEIN, D</w:t>
      </w:r>
      <w:r w:rsidR="00D41ACF">
        <w:rPr>
          <w:spacing w:val="-6"/>
          <w:sz w:val="19"/>
          <w:szCs w:val="19"/>
          <w:lang w:val="en-US"/>
        </w:rPr>
        <w:t>.</w:t>
      </w:r>
      <w:r w:rsidRPr="00FE7FC4">
        <w:rPr>
          <w:spacing w:val="-6"/>
          <w:sz w:val="19"/>
          <w:szCs w:val="19"/>
          <w:lang w:val="en-US"/>
        </w:rPr>
        <w:t xml:space="preserve">; </w:t>
      </w:r>
      <w:r w:rsidRPr="00FE7FC4">
        <w:rPr>
          <w:i/>
          <w:iCs/>
          <w:spacing w:val="-6"/>
          <w:sz w:val="19"/>
          <w:szCs w:val="19"/>
          <w:lang w:val="en-US"/>
        </w:rPr>
        <w:t>et al</w:t>
      </w:r>
      <w:r w:rsidRPr="00FE7FC4">
        <w:rPr>
          <w:spacing w:val="-6"/>
          <w:sz w:val="19"/>
          <w:szCs w:val="19"/>
          <w:lang w:val="en-US"/>
        </w:rPr>
        <w:t xml:space="preserve">. Attention-deficit/hyperactivity disorder is characterized by a delay in cortical maturation. </w:t>
      </w:r>
      <w:r w:rsidRPr="00C82947">
        <w:rPr>
          <w:spacing w:val="-6"/>
          <w:sz w:val="19"/>
          <w:szCs w:val="19"/>
          <w:lang w:val="pt-BR"/>
        </w:rPr>
        <w:t xml:space="preserve">PNAS, v. 104, n. 49, p. 19649–19654, 2007. Disponível em: https://doi.org/10.1073/pnas.0707741104. </w:t>
      </w:r>
      <w:r w:rsidRPr="002F73BA">
        <w:rPr>
          <w:spacing w:val="-6"/>
          <w:sz w:val="19"/>
          <w:szCs w:val="19"/>
          <w:lang w:val="pt-BR"/>
        </w:rPr>
        <w:t>Acesso em: 22 abr. 2025.</w:t>
      </w:r>
    </w:p>
    <w:p w14:paraId="0CBE9ED8" w14:textId="016E6476" w:rsidR="00FE7FC4" w:rsidRPr="00FE7FC4" w:rsidRDefault="00FE7FC4" w:rsidP="00C82947">
      <w:pPr>
        <w:spacing w:after="60"/>
        <w:ind w:left="284" w:right="40" w:hanging="284"/>
        <w:rPr>
          <w:spacing w:val="-6"/>
          <w:sz w:val="19"/>
          <w:szCs w:val="19"/>
        </w:rPr>
      </w:pPr>
      <w:r w:rsidRPr="002F73BA">
        <w:rPr>
          <w:spacing w:val="-6"/>
          <w:sz w:val="19"/>
          <w:szCs w:val="19"/>
          <w:lang w:val="pt-BR"/>
        </w:rPr>
        <w:t>STRAKOWSKI, S</w:t>
      </w:r>
      <w:r w:rsidR="00B22F01" w:rsidRPr="002F73BA">
        <w:rPr>
          <w:spacing w:val="-6"/>
          <w:sz w:val="19"/>
          <w:szCs w:val="19"/>
          <w:lang w:val="pt-BR"/>
        </w:rPr>
        <w:t>.</w:t>
      </w:r>
      <w:r w:rsidRPr="002F73BA">
        <w:rPr>
          <w:spacing w:val="-6"/>
          <w:sz w:val="19"/>
          <w:szCs w:val="19"/>
          <w:lang w:val="pt-BR"/>
        </w:rPr>
        <w:t xml:space="preserve"> M.; ADLER, C</w:t>
      </w:r>
      <w:r w:rsidR="00B22F01" w:rsidRPr="002F73BA">
        <w:rPr>
          <w:spacing w:val="-6"/>
          <w:sz w:val="19"/>
          <w:szCs w:val="19"/>
          <w:lang w:val="pt-BR"/>
        </w:rPr>
        <w:t>.</w:t>
      </w:r>
      <w:r w:rsidRPr="002F73BA">
        <w:rPr>
          <w:spacing w:val="-6"/>
          <w:sz w:val="19"/>
          <w:szCs w:val="19"/>
          <w:lang w:val="pt-BR"/>
        </w:rPr>
        <w:t xml:space="preserve"> M.; ALMEIDA, J</w:t>
      </w:r>
      <w:r w:rsidR="00B22F01" w:rsidRPr="002F73BA">
        <w:rPr>
          <w:spacing w:val="-6"/>
          <w:sz w:val="19"/>
          <w:szCs w:val="19"/>
          <w:lang w:val="pt-BR"/>
        </w:rPr>
        <w:t>.</w:t>
      </w:r>
      <w:r w:rsidRPr="002F73BA">
        <w:rPr>
          <w:spacing w:val="-6"/>
          <w:sz w:val="19"/>
          <w:szCs w:val="19"/>
          <w:lang w:val="pt-BR"/>
        </w:rPr>
        <w:t xml:space="preserve">; ALTSHULER, </w:t>
      </w:r>
      <w:r w:rsidR="00B22F01" w:rsidRPr="002F73BA">
        <w:rPr>
          <w:spacing w:val="-6"/>
          <w:sz w:val="19"/>
          <w:szCs w:val="19"/>
          <w:lang w:val="pt-BR"/>
        </w:rPr>
        <w:t>L.</w:t>
      </w:r>
      <w:r w:rsidRPr="002F73BA">
        <w:rPr>
          <w:spacing w:val="-6"/>
          <w:sz w:val="19"/>
          <w:szCs w:val="19"/>
          <w:lang w:val="pt-BR"/>
        </w:rPr>
        <w:t xml:space="preserve"> L.; BLUMBERG, H</w:t>
      </w:r>
      <w:r w:rsidR="00B22F01" w:rsidRPr="002F73BA">
        <w:rPr>
          <w:spacing w:val="-6"/>
          <w:sz w:val="19"/>
          <w:szCs w:val="19"/>
          <w:lang w:val="pt-BR"/>
        </w:rPr>
        <w:t>.</w:t>
      </w:r>
      <w:r w:rsidRPr="002F73BA">
        <w:rPr>
          <w:spacing w:val="-6"/>
          <w:sz w:val="19"/>
          <w:szCs w:val="19"/>
          <w:lang w:val="pt-BR"/>
        </w:rPr>
        <w:t xml:space="preserve"> P.; CHANG, K</w:t>
      </w:r>
      <w:r w:rsidR="00B22F01" w:rsidRPr="002F73BA">
        <w:rPr>
          <w:spacing w:val="-6"/>
          <w:sz w:val="19"/>
          <w:szCs w:val="19"/>
          <w:lang w:val="pt-BR"/>
        </w:rPr>
        <w:t xml:space="preserve">. </w:t>
      </w:r>
      <w:r w:rsidRPr="002F73BA">
        <w:rPr>
          <w:spacing w:val="-6"/>
          <w:sz w:val="19"/>
          <w:szCs w:val="19"/>
          <w:lang w:val="pt-BR"/>
        </w:rPr>
        <w:t xml:space="preserve">D.; </w:t>
      </w:r>
      <w:r w:rsidRPr="002F73BA">
        <w:rPr>
          <w:i/>
          <w:iCs/>
          <w:spacing w:val="-6"/>
          <w:sz w:val="19"/>
          <w:szCs w:val="19"/>
          <w:lang w:val="pt-BR"/>
        </w:rPr>
        <w:t>et al</w:t>
      </w:r>
      <w:r w:rsidRPr="002F73BA">
        <w:rPr>
          <w:spacing w:val="-6"/>
          <w:sz w:val="19"/>
          <w:szCs w:val="19"/>
          <w:lang w:val="pt-BR"/>
        </w:rPr>
        <w:t xml:space="preserve">. </w:t>
      </w:r>
      <w:r w:rsidRPr="00FE7FC4">
        <w:rPr>
          <w:spacing w:val="-6"/>
          <w:sz w:val="19"/>
          <w:szCs w:val="19"/>
          <w:lang w:val="en-US"/>
        </w:rPr>
        <w:t xml:space="preserve">The functional neuroanatomy of bipolar disorder: a consensus model. Bipolar Disorders, v. 14, n. 4, p. 313–325, jun. 2012. </w:t>
      </w:r>
      <w:r w:rsidRPr="00FE7FC4">
        <w:rPr>
          <w:spacing w:val="-6"/>
          <w:sz w:val="19"/>
          <w:szCs w:val="19"/>
        </w:rPr>
        <w:t xml:space="preserve">Disponível em: </w:t>
      </w:r>
      <w:r w:rsidR="00B22F01" w:rsidRPr="00B22F01">
        <w:rPr>
          <w:spacing w:val="-6"/>
          <w:sz w:val="19"/>
          <w:szCs w:val="19"/>
          <w:lang w:val="pt-BR"/>
        </w:rPr>
        <w:t>https://doi.org/</w:t>
      </w:r>
      <w:r w:rsidRPr="00FE7FC4">
        <w:rPr>
          <w:spacing w:val="-6"/>
          <w:sz w:val="19"/>
          <w:szCs w:val="19"/>
        </w:rPr>
        <w:t>10.1111/j.1399-5618.2012.01022.x. Acesso em 13 de maio de 2025.</w:t>
      </w:r>
    </w:p>
    <w:p w14:paraId="49F60A1F" w14:textId="2CD13F31" w:rsidR="00FE7FC4" w:rsidRPr="00FE7FC4" w:rsidRDefault="00FE7FC4" w:rsidP="00C82947">
      <w:pPr>
        <w:spacing w:after="60"/>
        <w:ind w:left="284" w:right="40" w:hanging="284"/>
        <w:rPr>
          <w:spacing w:val="-6"/>
          <w:sz w:val="19"/>
          <w:szCs w:val="19"/>
          <w:lang w:val="pt-BR"/>
        </w:rPr>
      </w:pPr>
      <w:r w:rsidRPr="00262803">
        <w:rPr>
          <w:spacing w:val="-6"/>
          <w:sz w:val="19"/>
          <w:szCs w:val="19"/>
          <w:lang w:val="en-US"/>
        </w:rPr>
        <w:t>SONG, P</w:t>
      </w:r>
      <w:r w:rsidR="00262803" w:rsidRPr="00262803">
        <w:rPr>
          <w:spacing w:val="-6"/>
          <w:sz w:val="19"/>
          <w:szCs w:val="19"/>
          <w:lang w:val="en-US"/>
        </w:rPr>
        <w:t>.</w:t>
      </w:r>
      <w:r w:rsidRPr="00262803">
        <w:rPr>
          <w:spacing w:val="-6"/>
          <w:sz w:val="19"/>
          <w:szCs w:val="19"/>
          <w:lang w:val="en-US"/>
        </w:rPr>
        <w:t>; ZHA, M</w:t>
      </w:r>
      <w:r w:rsidR="00262803" w:rsidRPr="00262803">
        <w:rPr>
          <w:spacing w:val="-6"/>
          <w:sz w:val="19"/>
          <w:szCs w:val="19"/>
          <w:lang w:val="en-US"/>
        </w:rPr>
        <w:t>.</w:t>
      </w:r>
      <w:r w:rsidRPr="00262803">
        <w:rPr>
          <w:spacing w:val="-6"/>
          <w:sz w:val="19"/>
          <w:szCs w:val="19"/>
          <w:lang w:val="en-US"/>
        </w:rPr>
        <w:t>; YANG, Q</w:t>
      </w:r>
      <w:r w:rsidR="00262803" w:rsidRPr="00262803">
        <w:rPr>
          <w:spacing w:val="-6"/>
          <w:sz w:val="19"/>
          <w:szCs w:val="19"/>
          <w:lang w:val="en-US"/>
        </w:rPr>
        <w:t>.</w:t>
      </w:r>
      <w:r w:rsidRPr="00262803">
        <w:rPr>
          <w:spacing w:val="-6"/>
          <w:sz w:val="19"/>
          <w:szCs w:val="19"/>
          <w:lang w:val="en-US"/>
        </w:rPr>
        <w:t>; ZHANG, Y</w:t>
      </w:r>
      <w:r w:rsidR="00262803" w:rsidRPr="00262803">
        <w:rPr>
          <w:spacing w:val="-6"/>
          <w:sz w:val="19"/>
          <w:szCs w:val="19"/>
          <w:lang w:val="en-US"/>
        </w:rPr>
        <w:t>.</w:t>
      </w:r>
      <w:r w:rsidRPr="00262803">
        <w:rPr>
          <w:spacing w:val="-6"/>
          <w:sz w:val="19"/>
          <w:szCs w:val="19"/>
          <w:lang w:val="en-US"/>
        </w:rPr>
        <w:t>; LI, X</w:t>
      </w:r>
      <w:r w:rsidR="00262803" w:rsidRPr="00262803">
        <w:rPr>
          <w:spacing w:val="-6"/>
          <w:sz w:val="19"/>
          <w:szCs w:val="19"/>
          <w:lang w:val="en-US"/>
        </w:rPr>
        <w:t>.</w:t>
      </w:r>
      <w:r w:rsidRPr="00262803">
        <w:rPr>
          <w:spacing w:val="-6"/>
          <w:sz w:val="19"/>
          <w:szCs w:val="19"/>
          <w:lang w:val="en-US"/>
        </w:rPr>
        <w:t xml:space="preserve">; RUDAN, I. </w:t>
      </w:r>
      <w:r w:rsidRPr="00FE7FC4">
        <w:rPr>
          <w:spacing w:val="-6"/>
          <w:sz w:val="19"/>
          <w:szCs w:val="19"/>
          <w:lang w:val="en-US"/>
        </w:rPr>
        <w:t xml:space="preserve">The prevalence of adult attention-deficit hyperactivity disorder: A global systematic review and meta-analysis. </w:t>
      </w:r>
      <w:r w:rsidRPr="00B22F01">
        <w:rPr>
          <w:spacing w:val="-6"/>
          <w:sz w:val="19"/>
          <w:szCs w:val="19"/>
          <w:lang w:val="en-US"/>
        </w:rPr>
        <w:t xml:space="preserve">Journal of Global Health, v. 11, p. 04009, 2021. </w:t>
      </w:r>
      <w:proofErr w:type="spellStart"/>
      <w:r w:rsidRPr="00B22F01">
        <w:rPr>
          <w:spacing w:val="-6"/>
          <w:sz w:val="19"/>
          <w:szCs w:val="19"/>
          <w:lang w:val="en-US"/>
        </w:rPr>
        <w:t>Disponível</w:t>
      </w:r>
      <w:proofErr w:type="spellEnd"/>
      <w:r w:rsidRPr="00B22F01">
        <w:rPr>
          <w:spacing w:val="-6"/>
          <w:sz w:val="19"/>
          <w:szCs w:val="19"/>
          <w:lang w:val="en-US"/>
        </w:rPr>
        <w:t xml:space="preserve"> </w:t>
      </w:r>
      <w:proofErr w:type="spellStart"/>
      <w:r w:rsidRPr="00B22F01">
        <w:rPr>
          <w:spacing w:val="-6"/>
          <w:sz w:val="19"/>
          <w:szCs w:val="19"/>
          <w:lang w:val="en-US"/>
        </w:rPr>
        <w:t>em</w:t>
      </w:r>
      <w:proofErr w:type="spellEnd"/>
      <w:r w:rsidRPr="00B22F01">
        <w:rPr>
          <w:spacing w:val="-6"/>
          <w:sz w:val="19"/>
          <w:szCs w:val="19"/>
          <w:lang w:val="en-US"/>
        </w:rPr>
        <w:t xml:space="preserve">: </w:t>
      </w:r>
      <w:r w:rsidR="00B22F01" w:rsidRPr="00FE7FC4">
        <w:rPr>
          <w:spacing w:val="-6"/>
          <w:sz w:val="19"/>
          <w:szCs w:val="19"/>
          <w:lang w:val="en-US"/>
        </w:rPr>
        <w:t>https://doi.org/</w:t>
      </w:r>
      <w:r w:rsidRPr="00B22F01">
        <w:rPr>
          <w:spacing w:val="-6"/>
          <w:sz w:val="19"/>
          <w:szCs w:val="19"/>
          <w:lang w:val="en-US"/>
        </w:rPr>
        <w:t xml:space="preserve">10.7189/jogh.11.04009. </w:t>
      </w:r>
      <w:r w:rsidRPr="00FE7FC4">
        <w:rPr>
          <w:spacing w:val="-6"/>
          <w:sz w:val="19"/>
          <w:szCs w:val="19"/>
          <w:lang w:val="pt-BR"/>
        </w:rPr>
        <w:t>Acesso em: 02 abr. 2025.</w:t>
      </w:r>
    </w:p>
    <w:p w14:paraId="34A24D77" w14:textId="726A26AC" w:rsidR="00FE7FC4" w:rsidRPr="00FE7FC4" w:rsidRDefault="00FE7FC4" w:rsidP="00C82947">
      <w:pPr>
        <w:spacing w:after="60"/>
        <w:ind w:left="284" w:right="40" w:hanging="284"/>
        <w:rPr>
          <w:spacing w:val="-6"/>
          <w:sz w:val="19"/>
          <w:szCs w:val="19"/>
        </w:rPr>
      </w:pPr>
      <w:r w:rsidRPr="00FE7FC4">
        <w:rPr>
          <w:spacing w:val="-6"/>
          <w:sz w:val="19"/>
          <w:szCs w:val="19"/>
        </w:rPr>
        <w:t>SOUZA, F</w:t>
      </w:r>
      <w:r w:rsidR="005503F2">
        <w:rPr>
          <w:spacing w:val="-6"/>
          <w:sz w:val="19"/>
          <w:szCs w:val="19"/>
        </w:rPr>
        <w:t>.</w:t>
      </w:r>
      <w:r w:rsidRPr="00FE7FC4">
        <w:rPr>
          <w:spacing w:val="-6"/>
          <w:sz w:val="19"/>
          <w:szCs w:val="19"/>
        </w:rPr>
        <w:t xml:space="preserve"> G</w:t>
      </w:r>
      <w:r w:rsidR="005503F2">
        <w:rPr>
          <w:spacing w:val="-6"/>
          <w:sz w:val="19"/>
          <w:szCs w:val="19"/>
        </w:rPr>
        <w:t>.</w:t>
      </w:r>
      <w:r w:rsidRPr="00FE7FC4">
        <w:rPr>
          <w:spacing w:val="-6"/>
          <w:sz w:val="19"/>
          <w:szCs w:val="19"/>
        </w:rPr>
        <w:t xml:space="preserve"> de M; CALIL, H</w:t>
      </w:r>
      <w:r w:rsidR="005503F2">
        <w:rPr>
          <w:spacing w:val="-6"/>
          <w:sz w:val="19"/>
          <w:szCs w:val="19"/>
        </w:rPr>
        <w:t>.</w:t>
      </w:r>
      <w:r w:rsidRPr="00FE7FC4">
        <w:rPr>
          <w:spacing w:val="-6"/>
          <w:sz w:val="19"/>
          <w:szCs w:val="19"/>
        </w:rPr>
        <w:t xml:space="preserve"> M</w:t>
      </w:r>
      <w:r w:rsidR="005503F2">
        <w:rPr>
          <w:spacing w:val="-6"/>
          <w:sz w:val="19"/>
          <w:szCs w:val="19"/>
        </w:rPr>
        <w:t>.</w:t>
      </w:r>
      <w:r w:rsidRPr="00FE7FC4">
        <w:rPr>
          <w:spacing w:val="-6"/>
          <w:sz w:val="19"/>
          <w:szCs w:val="19"/>
        </w:rPr>
        <w:t>; TAMAI, S. Diagnóstico e tratamento do transtorno bipolar. Publicações ABP, v. 7, 21 jul. 2020. Disponível em: https://abp.org.br/publicacoes/diretrizes/07-transtorno-bipolar.pdf. Acesso em: 15 mai. 2025.</w:t>
      </w:r>
    </w:p>
    <w:p w14:paraId="1CBB891C" w14:textId="0AD4D44B" w:rsidR="00FE7FC4" w:rsidRPr="00FE7FC4" w:rsidRDefault="00FE7FC4" w:rsidP="00C82947">
      <w:pPr>
        <w:spacing w:after="60"/>
        <w:ind w:left="284" w:right="40" w:hanging="284"/>
        <w:rPr>
          <w:spacing w:val="-6"/>
          <w:sz w:val="19"/>
          <w:szCs w:val="19"/>
          <w:lang w:val="pt-BR"/>
        </w:rPr>
      </w:pPr>
      <w:r w:rsidRPr="00FE7FC4">
        <w:rPr>
          <w:spacing w:val="-6"/>
          <w:sz w:val="19"/>
          <w:szCs w:val="19"/>
          <w:lang w:val="en-US"/>
        </w:rPr>
        <w:t>THAPAR, A</w:t>
      </w:r>
      <w:r w:rsidR="005503F2">
        <w:rPr>
          <w:spacing w:val="-6"/>
          <w:sz w:val="19"/>
          <w:szCs w:val="19"/>
          <w:lang w:val="en-US"/>
        </w:rPr>
        <w:t>.</w:t>
      </w:r>
      <w:r w:rsidRPr="00FE7FC4">
        <w:rPr>
          <w:spacing w:val="-6"/>
          <w:sz w:val="19"/>
          <w:szCs w:val="19"/>
          <w:lang w:val="en-US"/>
        </w:rPr>
        <w:t>; COLLISHAW, S</w:t>
      </w:r>
      <w:r w:rsidR="005503F2">
        <w:rPr>
          <w:spacing w:val="-6"/>
          <w:sz w:val="19"/>
          <w:szCs w:val="19"/>
          <w:lang w:val="en-US"/>
        </w:rPr>
        <w:t>.</w:t>
      </w:r>
      <w:r w:rsidRPr="00FE7FC4">
        <w:rPr>
          <w:spacing w:val="-6"/>
          <w:sz w:val="19"/>
          <w:szCs w:val="19"/>
          <w:lang w:val="en-US"/>
        </w:rPr>
        <w:t>; PINE, D</w:t>
      </w:r>
      <w:r w:rsidR="005503F2">
        <w:rPr>
          <w:spacing w:val="-6"/>
          <w:sz w:val="19"/>
          <w:szCs w:val="19"/>
          <w:lang w:val="en-US"/>
        </w:rPr>
        <w:t>.</w:t>
      </w:r>
      <w:r w:rsidRPr="00FE7FC4">
        <w:rPr>
          <w:spacing w:val="-6"/>
          <w:sz w:val="19"/>
          <w:szCs w:val="19"/>
          <w:lang w:val="en-US"/>
        </w:rPr>
        <w:t xml:space="preserve"> S.; THAPAR, A</w:t>
      </w:r>
      <w:r w:rsidR="005503F2">
        <w:rPr>
          <w:spacing w:val="-6"/>
          <w:sz w:val="19"/>
          <w:szCs w:val="19"/>
          <w:lang w:val="en-US"/>
        </w:rPr>
        <w:t>.</w:t>
      </w:r>
      <w:r w:rsidRPr="00FE7FC4">
        <w:rPr>
          <w:spacing w:val="-6"/>
          <w:sz w:val="19"/>
          <w:szCs w:val="19"/>
          <w:lang w:val="en-US"/>
        </w:rPr>
        <w:t xml:space="preserve"> K. Depression in adolescence. </w:t>
      </w:r>
      <w:r w:rsidRPr="00FE7FC4">
        <w:rPr>
          <w:spacing w:val="-6"/>
          <w:sz w:val="19"/>
          <w:szCs w:val="19"/>
          <w:lang w:val="pt-BR"/>
        </w:rPr>
        <w:t xml:space="preserve">The Lancet, v. 379, n. 9820, p. 1056–1067, 2012. Disponível em: </w:t>
      </w:r>
      <w:r w:rsidR="00B22F01" w:rsidRPr="00B22F01">
        <w:rPr>
          <w:spacing w:val="-6"/>
          <w:sz w:val="19"/>
          <w:szCs w:val="19"/>
          <w:lang w:val="pt-BR"/>
        </w:rPr>
        <w:t>https://doi.org/</w:t>
      </w:r>
      <w:r w:rsidRPr="00FE7FC4">
        <w:rPr>
          <w:spacing w:val="-6"/>
          <w:sz w:val="19"/>
          <w:szCs w:val="19"/>
          <w:lang w:val="pt-BR"/>
        </w:rPr>
        <w:t>10.1016/S0140-6736(11)60871-4. Acesso em: 02 mai. 2025.</w:t>
      </w:r>
    </w:p>
    <w:p w14:paraId="2F0618D2" w14:textId="5CAA0A56" w:rsidR="00FE7FC4" w:rsidRPr="00FE7FC4" w:rsidRDefault="00FE7FC4" w:rsidP="00C82947">
      <w:pPr>
        <w:spacing w:after="60"/>
        <w:ind w:left="284" w:right="40" w:hanging="284"/>
        <w:rPr>
          <w:spacing w:val="-6"/>
          <w:sz w:val="19"/>
          <w:szCs w:val="19"/>
          <w:lang w:val="en-US"/>
        </w:rPr>
      </w:pPr>
      <w:r w:rsidRPr="002F73BA">
        <w:rPr>
          <w:spacing w:val="-6"/>
          <w:sz w:val="19"/>
          <w:szCs w:val="19"/>
          <w:lang w:val="pt-BR"/>
        </w:rPr>
        <w:t>WAXMONSKY, J</w:t>
      </w:r>
      <w:r w:rsidR="006E6C79" w:rsidRPr="002F73BA">
        <w:rPr>
          <w:spacing w:val="-6"/>
          <w:sz w:val="19"/>
          <w:szCs w:val="19"/>
          <w:lang w:val="pt-BR"/>
        </w:rPr>
        <w:t>.</w:t>
      </w:r>
      <w:r w:rsidRPr="002F73BA">
        <w:rPr>
          <w:spacing w:val="-6"/>
          <w:sz w:val="19"/>
          <w:szCs w:val="19"/>
          <w:lang w:val="pt-BR"/>
        </w:rPr>
        <w:t>; PELHAM, W</w:t>
      </w:r>
      <w:r w:rsidR="00462C77" w:rsidRPr="002F73BA">
        <w:rPr>
          <w:spacing w:val="-6"/>
          <w:sz w:val="19"/>
          <w:szCs w:val="19"/>
          <w:lang w:val="pt-BR"/>
        </w:rPr>
        <w:t>.</w:t>
      </w:r>
      <w:r w:rsidRPr="002F73BA">
        <w:rPr>
          <w:spacing w:val="-6"/>
          <w:sz w:val="19"/>
          <w:szCs w:val="19"/>
          <w:lang w:val="pt-BR"/>
        </w:rPr>
        <w:t xml:space="preserve"> E.; GNAGY, E</w:t>
      </w:r>
      <w:r w:rsidR="00462C77" w:rsidRPr="002F73BA">
        <w:rPr>
          <w:spacing w:val="-6"/>
          <w:sz w:val="19"/>
          <w:szCs w:val="19"/>
          <w:lang w:val="pt-BR"/>
        </w:rPr>
        <w:t>.</w:t>
      </w:r>
      <w:r w:rsidRPr="002F73BA">
        <w:rPr>
          <w:spacing w:val="-6"/>
          <w:sz w:val="19"/>
          <w:szCs w:val="19"/>
          <w:lang w:val="pt-BR"/>
        </w:rPr>
        <w:t>; CUMMINGS, M</w:t>
      </w:r>
      <w:r w:rsidR="00462C77" w:rsidRPr="002F73BA">
        <w:rPr>
          <w:spacing w:val="-6"/>
          <w:sz w:val="19"/>
          <w:szCs w:val="19"/>
          <w:lang w:val="pt-BR"/>
        </w:rPr>
        <w:t>.</w:t>
      </w:r>
      <w:r w:rsidRPr="002F73BA">
        <w:rPr>
          <w:spacing w:val="-6"/>
          <w:sz w:val="19"/>
          <w:szCs w:val="19"/>
          <w:lang w:val="pt-BR"/>
        </w:rPr>
        <w:t xml:space="preserve"> R.; O'CONNOR, B</w:t>
      </w:r>
      <w:r w:rsidR="00462C77" w:rsidRPr="002F73BA">
        <w:rPr>
          <w:spacing w:val="-6"/>
          <w:sz w:val="19"/>
          <w:szCs w:val="19"/>
          <w:lang w:val="pt-BR"/>
        </w:rPr>
        <w:t>.</w:t>
      </w:r>
      <w:r w:rsidRPr="002F73BA">
        <w:rPr>
          <w:spacing w:val="-6"/>
          <w:sz w:val="19"/>
          <w:szCs w:val="19"/>
          <w:lang w:val="pt-BR"/>
        </w:rPr>
        <w:t xml:space="preserve">; </w:t>
      </w:r>
      <w:r w:rsidRPr="002F73BA">
        <w:rPr>
          <w:i/>
          <w:iCs/>
          <w:spacing w:val="-6"/>
          <w:sz w:val="19"/>
          <w:szCs w:val="19"/>
          <w:lang w:val="pt-BR"/>
        </w:rPr>
        <w:t>et al</w:t>
      </w:r>
      <w:r w:rsidRPr="002F73BA">
        <w:rPr>
          <w:spacing w:val="-6"/>
          <w:sz w:val="19"/>
          <w:szCs w:val="19"/>
          <w:lang w:val="pt-BR"/>
        </w:rPr>
        <w:t xml:space="preserve">. </w:t>
      </w:r>
      <w:r w:rsidRPr="00FE7FC4">
        <w:rPr>
          <w:spacing w:val="-6"/>
          <w:sz w:val="19"/>
          <w:szCs w:val="19"/>
          <w:lang w:val="en-US"/>
        </w:rPr>
        <w:t xml:space="preserve">The efficacy and tolerability of methylphenidate and behavior modification in children with attention-deficit/hyperactivity disorder and severe mood dysregulation. Journal of Child and Adolescent Psychopharmacology, v. 18, n. 6, p. 573–588, 2008.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https://doi.org/10.1089/cap.2008.065.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6 jun. 2025.</w:t>
      </w:r>
    </w:p>
    <w:p w14:paraId="5E910B6C" w14:textId="38A078E8" w:rsidR="00FE7FC4" w:rsidRPr="00FE7FC4" w:rsidRDefault="00FE7FC4" w:rsidP="00C82947">
      <w:pPr>
        <w:spacing w:after="60"/>
        <w:ind w:left="284" w:right="40" w:hanging="284"/>
        <w:rPr>
          <w:spacing w:val="-6"/>
          <w:sz w:val="19"/>
          <w:szCs w:val="19"/>
          <w:lang w:val="en-US"/>
        </w:rPr>
      </w:pPr>
      <w:r w:rsidRPr="00FE7FC4">
        <w:rPr>
          <w:spacing w:val="-6"/>
          <w:sz w:val="19"/>
          <w:szCs w:val="19"/>
          <w:lang w:val="en-US"/>
        </w:rPr>
        <w:t>WELLS, T</w:t>
      </w:r>
      <w:r w:rsidR="006E6C79">
        <w:rPr>
          <w:spacing w:val="-6"/>
          <w:sz w:val="19"/>
          <w:szCs w:val="19"/>
          <w:lang w:val="en-US"/>
        </w:rPr>
        <w:t>.</w:t>
      </w:r>
      <w:r w:rsidRPr="00FE7FC4">
        <w:rPr>
          <w:spacing w:val="-6"/>
          <w:sz w:val="19"/>
          <w:szCs w:val="19"/>
          <w:lang w:val="en-US"/>
        </w:rPr>
        <w:t xml:space="preserve"> S.; MILLER, S</w:t>
      </w:r>
      <w:r w:rsidR="006E6C79">
        <w:rPr>
          <w:spacing w:val="-6"/>
          <w:sz w:val="19"/>
          <w:szCs w:val="19"/>
          <w:lang w:val="en-US"/>
        </w:rPr>
        <w:t>.</w:t>
      </w:r>
      <w:r w:rsidRPr="00FE7FC4">
        <w:rPr>
          <w:spacing w:val="-6"/>
          <w:sz w:val="19"/>
          <w:szCs w:val="19"/>
          <w:lang w:val="en-US"/>
        </w:rPr>
        <w:t xml:space="preserve"> C.; ADLER, A</w:t>
      </w:r>
      <w:r w:rsidR="006E6C79">
        <w:rPr>
          <w:spacing w:val="-6"/>
          <w:sz w:val="19"/>
          <w:szCs w:val="19"/>
          <w:lang w:val="en-US"/>
        </w:rPr>
        <w:t>.</w:t>
      </w:r>
      <w:r w:rsidRPr="00FE7FC4">
        <w:rPr>
          <w:spacing w:val="-6"/>
          <w:sz w:val="19"/>
          <w:szCs w:val="19"/>
          <w:lang w:val="en-US"/>
        </w:rPr>
        <w:t xml:space="preserve"> B.; ENGEL, C</w:t>
      </w:r>
      <w:r w:rsidR="006E6C79">
        <w:rPr>
          <w:spacing w:val="-6"/>
          <w:sz w:val="19"/>
          <w:szCs w:val="19"/>
          <w:lang w:val="en-US"/>
        </w:rPr>
        <w:t>.</w:t>
      </w:r>
      <w:r w:rsidRPr="00FE7FC4">
        <w:rPr>
          <w:spacing w:val="-6"/>
          <w:sz w:val="19"/>
          <w:szCs w:val="19"/>
          <w:lang w:val="en-US"/>
        </w:rPr>
        <w:t xml:space="preserve"> C.; SMITH, T</w:t>
      </w:r>
      <w:r w:rsidR="006E6C79">
        <w:rPr>
          <w:spacing w:val="-6"/>
          <w:sz w:val="19"/>
          <w:szCs w:val="19"/>
          <w:lang w:val="en-US"/>
        </w:rPr>
        <w:t>.</w:t>
      </w:r>
      <w:r w:rsidRPr="00FE7FC4">
        <w:rPr>
          <w:spacing w:val="-6"/>
          <w:sz w:val="19"/>
          <w:szCs w:val="19"/>
          <w:lang w:val="en-US"/>
        </w:rPr>
        <w:t xml:space="preserve"> C.; FAIRBANK, John A. Mental health impact of the Iraq and Afghanistan conflicts: a review of US research, service provision, and programmatic responses. International Review of Psychiatry, v. 23, n. 2, p. 144–152, abr. 2011.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https://doi.org/10.3109/09540261.2011.558833.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6 jun. 2025.</w:t>
      </w:r>
    </w:p>
    <w:p w14:paraId="4FFDBB09" w14:textId="1F90A6DB" w:rsidR="00FE7FC4" w:rsidRPr="00FE7FC4" w:rsidRDefault="00FE7FC4" w:rsidP="00C82947">
      <w:pPr>
        <w:spacing w:after="60"/>
        <w:ind w:left="284" w:right="40" w:hanging="284"/>
        <w:rPr>
          <w:spacing w:val="-6"/>
          <w:sz w:val="19"/>
          <w:szCs w:val="19"/>
        </w:rPr>
      </w:pPr>
      <w:r w:rsidRPr="00FE7FC4">
        <w:rPr>
          <w:spacing w:val="-6"/>
          <w:sz w:val="19"/>
          <w:szCs w:val="19"/>
          <w:lang w:val="en-US"/>
        </w:rPr>
        <w:t>WOLRAICH, M</w:t>
      </w:r>
      <w:r w:rsidR="00C90840">
        <w:rPr>
          <w:spacing w:val="-6"/>
          <w:sz w:val="19"/>
          <w:szCs w:val="19"/>
          <w:lang w:val="en-US"/>
        </w:rPr>
        <w:t>.</w:t>
      </w:r>
      <w:r w:rsidRPr="00FE7FC4">
        <w:rPr>
          <w:spacing w:val="-6"/>
          <w:sz w:val="19"/>
          <w:szCs w:val="19"/>
          <w:lang w:val="en-US"/>
        </w:rPr>
        <w:t xml:space="preserve"> L.; CHAN, E</w:t>
      </w:r>
      <w:r w:rsidR="00C90840">
        <w:rPr>
          <w:spacing w:val="-6"/>
          <w:sz w:val="19"/>
          <w:szCs w:val="19"/>
          <w:lang w:val="en-US"/>
        </w:rPr>
        <w:t>.</w:t>
      </w:r>
      <w:r w:rsidRPr="00FE7FC4">
        <w:rPr>
          <w:spacing w:val="-6"/>
          <w:sz w:val="19"/>
          <w:szCs w:val="19"/>
          <w:lang w:val="en-US"/>
        </w:rPr>
        <w:t>; FROEHLICH, T</w:t>
      </w:r>
      <w:r w:rsidR="00C90840">
        <w:rPr>
          <w:spacing w:val="-6"/>
          <w:sz w:val="19"/>
          <w:szCs w:val="19"/>
          <w:lang w:val="en-US"/>
        </w:rPr>
        <w:t>.</w:t>
      </w:r>
      <w:r w:rsidRPr="00FE7FC4">
        <w:rPr>
          <w:spacing w:val="-6"/>
          <w:sz w:val="19"/>
          <w:szCs w:val="19"/>
          <w:lang w:val="en-US"/>
        </w:rPr>
        <w:t>; LYNCH, R</w:t>
      </w:r>
      <w:r w:rsidR="00C90840">
        <w:rPr>
          <w:spacing w:val="-6"/>
          <w:sz w:val="19"/>
          <w:szCs w:val="19"/>
          <w:lang w:val="en-US"/>
        </w:rPr>
        <w:t>.</w:t>
      </w:r>
      <w:r w:rsidRPr="00FE7FC4">
        <w:rPr>
          <w:spacing w:val="-6"/>
          <w:sz w:val="19"/>
          <w:szCs w:val="19"/>
          <w:lang w:val="en-US"/>
        </w:rPr>
        <w:t xml:space="preserve"> L.; BAX, A</w:t>
      </w:r>
      <w:r w:rsidR="00C90840">
        <w:rPr>
          <w:spacing w:val="-6"/>
          <w:sz w:val="19"/>
          <w:szCs w:val="19"/>
          <w:lang w:val="en-US"/>
        </w:rPr>
        <w:t>.</w:t>
      </w:r>
      <w:r w:rsidRPr="00FE7FC4">
        <w:rPr>
          <w:spacing w:val="-6"/>
          <w:sz w:val="19"/>
          <w:szCs w:val="19"/>
          <w:lang w:val="en-US"/>
        </w:rPr>
        <w:t>; REDWINE, S</w:t>
      </w:r>
      <w:r w:rsidR="00C90840">
        <w:rPr>
          <w:spacing w:val="-6"/>
          <w:sz w:val="19"/>
          <w:szCs w:val="19"/>
          <w:lang w:val="en-US"/>
        </w:rPr>
        <w:t>.</w:t>
      </w:r>
      <w:r w:rsidRPr="00FE7FC4">
        <w:rPr>
          <w:spacing w:val="-6"/>
          <w:sz w:val="19"/>
          <w:szCs w:val="19"/>
          <w:lang w:val="en-US"/>
        </w:rPr>
        <w:t xml:space="preserve"> T.; IHYEMBE, D</w:t>
      </w:r>
      <w:r w:rsidR="00C90840">
        <w:rPr>
          <w:spacing w:val="-6"/>
          <w:sz w:val="19"/>
          <w:szCs w:val="19"/>
          <w:lang w:val="en-US"/>
        </w:rPr>
        <w:t>.</w:t>
      </w:r>
      <w:r w:rsidRPr="00FE7FC4">
        <w:rPr>
          <w:spacing w:val="-6"/>
          <w:sz w:val="19"/>
          <w:szCs w:val="19"/>
          <w:lang w:val="en-US"/>
        </w:rPr>
        <w:t>; HAGAN, J</w:t>
      </w:r>
      <w:r w:rsidR="00C90840">
        <w:rPr>
          <w:spacing w:val="-6"/>
          <w:sz w:val="19"/>
          <w:szCs w:val="19"/>
          <w:lang w:val="en-US"/>
        </w:rPr>
        <w:t>.</w:t>
      </w:r>
      <w:r w:rsidRPr="00FE7FC4">
        <w:rPr>
          <w:spacing w:val="-6"/>
          <w:sz w:val="19"/>
          <w:szCs w:val="19"/>
          <w:lang w:val="en-US"/>
        </w:rPr>
        <w:t xml:space="preserve"> F. ADHD diagnosis and treatment guidelines: a historical perspective. </w:t>
      </w:r>
      <w:proofErr w:type="spellStart"/>
      <w:r w:rsidRPr="00FE7FC4">
        <w:rPr>
          <w:spacing w:val="-6"/>
          <w:sz w:val="19"/>
          <w:szCs w:val="19"/>
          <w:lang w:val="pt-BR"/>
        </w:rPr>
        <w:t>Pediatrics</w:t>
      </w:r>
      <w:proofErr w:type="spellEnd"/>
      <w:r w:rsidRPr="00FE7FC4">
        <w:rPr>
          <w:spacing w:val="-6"/>
          <w:sz w:val="19"/>
          <w:szCs w:val="19"/>
          <w:lang w:val="pt-BR"/>
        </w:rPr>
        <w:t>, v. 144, n. 4, e20191682, out. 2019. Disponível em</w:t>
      </w:r>
      <w:r w:rsidRPr="00FE7FC4">
        <w:rPr>
          <w:spacing w:val="-6"/>
          <w:sz w:val="19"/>
          <w:szCs w:val="19"/>
        </w:rPr>
        <w:t xml:space="preserve">: </w:t>
      </w:r>
      <w:r w:rsidR="00C90840" w:rsidRPr="002F73BA">
        <w:rPr>
          <w:spacing w:val="-6"/>
          <w:sz w:val="19"/>
          <w:szCs w:val="19"/>
          <w:lang w:val="pt-BR"/>
        </w:rPr>
        <w:t>https://doi.org/</w:t>
      </w:r>
      <w:r w:rsidRPr="00FE7FC4">
        <w:rPr>
          <w:spacing w:val="-6"/>
          <w:sz w:val="19"/>
          <w:szCs w:val="19"/>
        </w:rPr>
        <w:t>10.1542/peds.2019-1682. Acesso em: 03 mai. 2025.</w:t>
      </w:r>
    </w:p>
    <w:p w14:paraId="339640E0" w14:textId="32E6AA54" w:rsidR="00FE7FC4" w:rsidRPr="00FE7FC4" w:rsidRDefault="00FE7FC4" w:rsidP="00C82947">
      <w:pPr>
        <w:spacing w:after="60"/>
        <w:ind w:left="284" w:right="40" w:hanging="284"/>
        <w:rPr>
          <w:spacing w:val="-6"/>
          <w:sz w:val="19"/>
          <w:szCs w:val="19"/>
          <w:lang w:val="en-US"/>
        </w:rPr>
      </w:pPr>
      <w:r w:rsidRPr="002F73BA">
        <w:rPr>
          <w:spacing w:val="-6"/>
          <w:sz w:val="19"/>
          <w:szCs w:val="19"/>
          <w:lang w:val="pt-BR"/>
        </w:rPr>
        <w:t xml:space="preserve">WU, K-G; CHEN, S-J; HU, Y-N; MEI, S-F; CHEN, W-C; HUANG, X-E; </w:t>
      </w:r>
      <w:r w:rsidRPr="002F73BA">
        <w:rPr>
          <w:i/>
          <w:iCs/>
          <w:spacing w:val="-6"/>
          <w:sz w:val="19"/>
          <w:szCs w:val="19"/>
          <w:lang w:val="pt-BR"/>
        </w:rPr>
        <w:t>et al</w:t>
      </w:r>
      <w:r w:rsidRPr="002F73BA">
        <w:rPr>
          <w:spacing w:val="-6"/>
          <w:sz w:val="19"/>
          <w:szCs w:val="19"/>
          <w:lang w:val="pt-BR"/>
        </w:rPr>
        <w:t xml:space="preserve">. </w:t>
      </w:r>
      <w:r w:rsidRPr="00FE7FC4">
        <w:rPr>
          <w:spacing w:val="-6"/>
          <w:sz w:val="19"/>
          <w:szCs w:val="19"/>
          <w:lang w:val="en-US"/>
        </w:rPr>
        <w:t xml:space="preserve">The relationship between physical activity and depression among community-dwelling adults in Wuhan, China. Frontiers in Psychiatry, Lausanne, v. 14, 25 abr. 2023. </w:t>
      </w:r>
      <w:proofErr w:type="spellStart"/>
      <w:r w:rsidRPr="00FE7FC4">
        <w:rPr>
          <w:spacing w:val="-6"/>
          <w:sz w:val="19"/>
          <w:szCs w:val="19"/>
          <w:lang w:val="en-US"/>
        </w:rPr>
        <w:t>Disponível</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xml:space="preserve">: https://doi.org/10.3389/fpsyt.2023.1179417. </w:t>
      </w:r>
      <w:proofErr w:type="spellStart"/>
      <w:r w:rsidRPr="00FE7FC4">
        <w:rPr>
          <w:spacing w:val="-6"/>
          <w:sz w:val="19"/>
          <w:szCs w:val="19"/>
          <w:lang w:val="en-US"/>
        </w:rPr>
        <w:t>Acesso</w:t>
      </w:r>
      <w:proofErr w:type="spellEnd"/>
      <w:r w:rsidRPr="00FE7FC4">
        <w:rPr>
          <w:spacing w:val="-6"/>
          <w:sz w:val="19"/>
          <w:szCs w:val="19"/>
          <w:lang w:val="en-US"/>
        </w:rPr>
        <w:t xml:space="preserve"> </w:t>
      </w:r>
      <w:proofErr w:type="spellStart"/>
      <w:r w:rsidRPr="00FE7FC4">
        <w:rPr>
          <w:spacing w:val="-6"/>
          <w:sz w:val="19"/>
          <w:szCs w:val="19"/>
          <w:lang w:val="en-US"/>
        </w:rPr>
        <w:t>em</w:t>
      </w:r>
      <w:proofErr w:type="spellEnd"/>
      <w:r w:rsidRPr="00FE7FC4">
        <w:rPr>
          <w:spacing w:val="-6"/>
          <w:sz w:val="19"/>
          <w:szCs w:val="19"/>
          <w:lang w:val="en-US"/>
        </w:rPr>
        <w:t>: 6 jun. 2025.</w:t>
      </w:r>
    </w:p>
    <w:p w14:paraId="0C9EF392" w14:textId="0A37CE75" w:rsidR="00FE7FC4" w:rsidRPr="00FE7FC4" w:rsidRDefault="00FE7FC4" w:rsidP="00C82947">
      <w:pPr>
        <w:spacing w:after="60"/>
        <w:ind w:left="284" w:right="40" w:hanging="284"/>
        <w:rPr>
          <w:spacing w:val="-6"/>
          <w:sz w:val="19"/>
          <w:szCs w:val="19"/>
        </w:rPr>
      </w:pPr>
      <w:r w:rsidRPr="00FE7FC4">
        <w:rPr>
          <w:spacing w:val="-6"/>
          <w:sz w:val="19"/>
          <w:szCs w:val="19"/>
          <w:lang w:val="en-US"/>
        </w:rPr>
        <w:t>YATHAM, L</w:t>
      </w:r>
      <w:r w:rsidR="0028195B">
        <w:rPr>
          <w:spacing w:val="-6"/>
          <w:sz w:val="19"/>
          <w:szCs w:val="19"/>
          <w:lang w:val="en-US"/>
        </w:rPr>
        <w:t>.</w:t>
      </w:r>
      <w:r w:rsidRPr="00FE7FC4">
        <w:rPr>
          <w:spacing w:val="-6"/>
          <w:sz w:val="19"/>
          <w:szCs w:val="19"/>
          <w:lang w:val="en-US"/>
        </w:rPr>
        <w:t xml:space="preserve"> N.; KENNEDY, S</w:t>
      </w:r>
      <w:r w:rsidR="0028195B">
        <w:rPr>
          <w:spacing w:val="-6"/>
          <w:sz w:val="19"/>
          <w:szCs w:val="19"/>
          <w:lang w:val="en-US"/>
        </w:rPr>
        <w:t>.</w:t>
      </w:r>
      <w:r w:rsidRPr="00FE7FC4">
        <w:rPr>
          <w:spacing w:val="-6"/>
          <w:sz w:val="19"/>
          <w:szCs w:val="19"/>
          <w:lang w:val="en-US"/>
        </w:rPr>
        <w:t xml:space="preserve"> H.; PARIKH, S</w:t>
      </w:r>
      <w:r w:rsidR="0028195B">
        <w:rPr>
          <w:spacing w:val="-6"/>
          <w:sz w:val="19"/>
          <w:szCs w:val="19"/>
          <w:lang w:val="en-US"/>
        </w:rPr>
        <w:t>.</w:t>
      </w:r>
      <w:r w:rsidRPr="00FE7FC4">
        <w:rPr>
          <w:spacing w:val="-6"/>
          <w:sz w:val="19"/>
          <w:szCs w:val="19"/>
          <w:lang w:val="en-US"/>
        </w:rPr>
        <w:t>V.; SCHAFFER, A</w:t>
      </w:r>
      <w:r w:rsidR="0028195B">
        <w:rPr>
          <w:spacing w:val="-6"/>
          <w:sz w:val="19"/>
          <w:szCs w:val="19"/>
          <w:lang w:val="en-US"/>
        </w:rPr>
        <w:t>.</w:t>
      </w:r>
      <w:r w:rsidRPr="00FE7FC4">
        <w:rPr>
          <w:spacing w:val="-6"/>
          <w:sz w:val="19"/>
          <w:szCs w:val="19"/>
          <w:lang w:val="en-US"/>
        </w:rPr>
        <w:t>; BOND, D</w:t>
      </w:r>
      <w:r w:rsidR="0028195B">
        <w:rPr>
          <w:spacing w:val="-6"/>
          <w:sz w:val="19"/>
          <w:szCs w:val="19"/>
          <w:lang w:val="en-US"/>
        </w:rPr>
        <w:t>.</w:t>
      </w:r>
      <w:r w:rsidRPr="00FE7FC4">
        <w:rPr>
          <w:spacing w:val="-6"/>
          <w:sz w:val="19"/>
          <w:szCs w:val="19"/>
          <w:lang w:val="en-US"/>
        </w:rPr>
        <w:t xml:space="preserve"> J.; FREY, B</w:t>
      </w:r>
      <w:r w:rsidR="0028195B">
        <w:rPr>
          <w:spacing w:val="-6"/>
          <w:sz w:val="19"/>
          <w:szCs w:val="19"/>
          <w:lang w:val="en-US"/>
        </w:rPr>
        <w:t>.</w:t>
      </w:r>
      <w:r w:rsidRPr="00FE7FC4">
        <w:rPr>
          <w:spacing w:val="-6"/>
          <w:sz w:val="19"/>
          <w:szCs w:val="19"/>
          <w:lang w:val="en-US"/>
        </w:rPr>
        <w:t xml:space="preserve"> N.; </w:t>
      </w:r>
      <w:r w:rsidRPr="00FE7FC4">
        <w:rPr>
          <w:i/>
          <w:iCs/>
          <w:spacing w:val="-6"/>
          <w:sz w:val="19"/>
          <w:szCs w:val="19"/>
          <w:lang w:val="en-US"/>
        </w:rPr>
        <w:t>et al</w:t>
      </w:r>
      <w:r w:rsidRPr="00FE7FC4">
        <w:rPr>
          <w:spacing w:val="-6"/>
          <w:sz w:val="19"/>
          <w:szCs w:val="19"/>
          <w:lang w:val="en-US"/>
        </w:rPr>
        <w:t xml:space="preserve">. Canadian Network for Mood and Anxiety Treatments (CANMAT) and International Society for Bipolar Disorders (ISBD) 2018 guidelines for the management of patients with bipolar disorder. </w:t>
      </w:r>
      <w:r w:rsidRPr="00FE7FC4">
        <w:rPr>
          <w:spacing w:val="-6"/>
          <w:sz w:val="19"/>
          <w:szCs w:val="19"/>
        </w:rPr>
        <w:t xml:space="preserve">Bipolar </w:t>
      </w:r>
      <w:proofErr w:type="spellStart"/>
      <w:r w:rsidRPr="00FE7FC4">
        <w:rPr>
          <w:spacing w:val="-6"/>
          <w:sz w:val="19"/>
          <w:szCs w:val="19"/>
        </w:rPr>
        <w:t>disorders</w:t>
      </w:r>
      <w:proofErr w:type="spellEnd"/>
      <w:r w:rsidRPr="00FE7FC4">
        <w:rPr>
          <w:spacing w:val="-6"/>
          <w:sz w:val="19"/>
          <w:szCs w:val="19"/>
        </w:rPr>
        <w:t xml:space="preserve">, v. 20, n. 2, p. 97-170, 2018. Disponível em: </w:t>
      </w:r>
      <w:r w:rsidR="00B22F01" w:rsidRPr="002F73BA">
        <w:rPr>
          <w:spacing w:val="-6"/>
          <w:sz w:val="19"/>
          <w:szCs w:val="19"/>
          <w:lang w:val="pt-BR"/>
        </w:rPr>
        <w:t>https://doi.org/</w:t>
      </w:r>
      <w:r w:rsidRPr="00FE7FC4">
        <w:rPr>
          <w:spacing w:val="-6"/>
          <w:sz w:val="19"/>
          <w:szCs w:val="19"/>
        </w:rPr>
        <w:t>10.1111/bdi.12609. Acesso em 23 de março de 2025.</w:t>
      </w:r>
    </w:p>
    <w:p w14:paraId="2843A3F9" w14:textId="796F838C" w:rsidR="00FE7FC4" w:rsidRPr="00FE7FC4" w:rsidRDefault="00FE7FC4" w:rsidP="00C82947">
      <w:pPr>
        <w:spacing w:after="60"/>
        <w:ind w:left="284" w:right="40" w:hanging="284"/>
        <w:rPr>
          <w:rFonts w:eastAsia="Calibri"/>
          <w:spacing w:val="-6"/>
          <w:sz w:val="19"/>
          <w:szCs w:val="19"/>
        </w:rPr>
      </w:pPr>
      <w:r w:rsidRPr="002F73BA">
        <w:rPr>
          <w:spacing w:val="-6"/>
          <w:sz w:val="19"/>
          <w:szCs w:val="19"/>
        </w:rPr>
        <w:t>YOUNG, S</w:t>
      </w:r>
      <w:r w:rsidR="00B22F01" w:rsidRPr="002F73BA">
        <w:rPr>
          <w:spacing w:val="-6"/>
          <w:sz w:val="19"/>
          <w:szCs w:val="19"/>
        </w:rPr>
        <w:t>.</w:t>
      </w:r>
      <w:r w:rsidRPr="002F73BA">
        <w:rPr>
          <w:spacing w:val="-6"/>
          <w:sz w:val="19"/>
          <w:szCs w:val="19"/>
        </w:rPr>
        <w:t>; ASHERSON, P</w:t>
      </w:r>
      <w:r w:rsidR="00B22F01" w:rsidRPr="002F73BA">
        <w:rPr>
          <w:spacing w:val="-6"/>
          <w:sz w:val="19"/>
          <w:szCs w:val="19"/>
        </w:rPr>
        <w:t>.</w:t>
      </w:r>
      <w:r w:rsidRPr="002F73BA">
        <w:rPr>
          <w:spacing w:val="-6"/>
          <w:sz w:val="19"/>
          <w:szCs w:val="19"/>
        </w:rPr>
        <w:t>; LLOYD, T</w:t>
      </w:r>
      <w:r w:rsidR="00B22F01" w:rsidRPr="002F73BA">
        <w:rPr>
          <w:spacing w:val="-6"/>
          <w:sz w:val="19"/>
          <w:szCs w:val="19"/>
        </w:rPr>
        <w:t>.</w:t>
      </w:r>
      <w:r w:rsidRPr="002F73BA">
        <w:rPr>
          <w:spacing w:val="-6"/>
          <w:sz w:val="19"/>
          <w:szCs w:val="19"/>
        </w:rPr>
        <w:t>; ABSOUD, M</w:t>
      </w:r>
      <w:r w:rsidR="00B22F01" w:rsidRPr="002F73BA">
        <w:rPr>
          <w:spacing w:val="-6"/>
          <w:sz w:val="19"/>
          <w:szCs w:val="19"/>
        </w:rPr>
        <w:t>.</w:t>
      </w:r>
      <w:r w:rsidRPr="002F73BA">
        <w:rPr>
          <w:spacing w:val="-6"/>
          <w:sz w:val="19"/>
          <w:szCs w:val="19"/>
        </w:rPr>
        <w:t>; ARIF, M</w:t>
      </w:r>
      <w:r w:rsidR="00B22F01" w:rsidRPr="002F73BA">
        <w:rPr>
          <w:spacing w:val="-6"/>
          <w:sz w:val="19"/>
          <w:szCs w:val="19"/>
        </w:rPr>
        <w:t>.</w:t>
      </w:r>
      <w:r w:rsidRPr="002F73BA">
        <w:rPr>
          <w:spacing w:val="-6"/>
          <w:sz w:val="19"/>
          <w:szCs w:val="19"/>
        </w:rPr>
        <w:t>; COLLEY, W</w:t>
      </w:r>
      <w:r w:rsidR="00B22F01" w:rsidRPr="002F73BA">
        <w:rPr>
          <w:spacing w:val="-6"/>
          <w:sz w:val="19"/>
          <w:szCs w:val="19"/>
        </w:rPr>
        <w:t>.</w:t>
      </w:r>
      <w:r w:rsidRPr="002F73BA">
        <w:rPr>
          <w:spacing w:val="-6"/>
          <w:sz w:val="19"/>
          <w:szCs w:val="19"/>
        </w:rPr>
        <w:t xml:space="preserve"> A</w:t>
      </w:r>
      <w:r w:rsidR="00B22F01" w:rsidRPr="002F73BA">
        <w:rPr>
          <w:spacing w:val="-6"/>
          <w:sz w:val="19"/>
          <w:szCs w:val="19"/>
        </w:rPr>
        <w:t>.</w:t>
      </w:r>
      <w:r w:rsidRPr="002F73BA">
        <w:rPr>
          <w:spacing w:val="-6"/>
          <w:sz w:val="19"/>
          <w:szCs w:val="19"/>
        </w:rPr>
        <w:t xml:space="preserve">; et al. </w:t>
      </w:r>
      <w:r w:rsidRPr="00FE7FC4">
        <w:rPr>
          <w:spacing w:val="-6"/>
          <w:sz w:val="19"/>
          <w:szCs w:val="19"/>
          <w:lang w:val="en-US"/>
        </w:rPr>
        <w:t xml:space="preserve">Failure of healthcare provision for attention-deficit/hyperactivity disorder in the United Kingdom: a consensus statement. </w:t>
      </w:r>
      <w:r w:rsidRPr="0028195B">
        <w:rPr>
          <w:spacing w:val="-6"/>
          <w:sz w:val="19"/>
          <w:szCs w:val="19"/>
          <w:lang w:val="en-US"/>
        </w:rPr>
        <w:t xml:space="preserve">Frontiers in Psychiatry, Lausanne, v. 12, 19 2021. </w:t>
      </w:r>
      <w:proofErr w:type="spellStart"/>
      <w:r w:rsidRPr="0028195B">
        <w:rPr>
          <w:spacing w:val="-6"/>
          <w:sz w:val="19"/>
          <w:szCs w:val="19"/>
          <w:lang w:val="en-US"/>
        </w:rPr>
        <w:t>Disponível</w:t>
      </w:r>
      <w:proofErr w:type="spellEnd"/>
      <w:r w:rsidRPr="0028195B">
        <w:rPr>
          <w:spacing w:val="-6"/>
          <w:sz w:val="19"/>
          <w:szCs w:val="19"/>
          <w:lang w:val="en-US"/>
        </w:rPr>
        <w:t xml:space="preserve"> </w:t>
      </w:r>
      <w:proofErr w:type="spellStart"/>
      <w:r w:rsidRPr="0028195B">
        <w:rPr>
          <w:spacing w:val="-6"/>
          <w:sz w:val="19"/>
          <w:szCs w:val="19"/>
          <w:lang w:val="en-US"/>
        </w:rPr>
        <w:t>em</w:t>
      </w:r>
      <w:proofErr w:type="spellEnd"/>
      <w:r w:rsidRPr="0028195B">
        <w:rPr>
          <w:spacing w:val="-6"/>
          <w:sz w:val="19"/>
          <w:szCs w:val="19"/>
          <w:lang w:val="en-US"/>
        </w:rPr>
        <w:t xml:space="preserve">: </w:t>
      </w:r>
      <w:r w:rsidR="0028195B" w:rsidRPr="00FE7FC4">
        <w:rPr>
          <w:spacing w:val="-6"/>
          <w:sz w:val="19"/>
          <w:szCs w:val="19"/>
          <w:lang w:val="en-US"/>
        </w:rPr>
        <w:t>https://doi.org/</w:t>
      </w:r>
      <w:r w:rsidRPr="0028195B">
        <w:rPr>
          <w:spacing w:val="-6"/>
          <w:sz w:val="19"/>
          <w:szCs w:val="19"/>
          <w:lang w:val="en-US"/>
        </w:rPr>
        <w:t xml:space="preserve">10.3389/fpsyt.2021.649399. </w:t>
      </w:r>
      <w:r w:rsidRPr="00FE7FC4">
        <w:rPr>
          <w:spacing w:val="-6"/>
          <w:sz w:val="19"/>
          <w:szCs w:val="19"/>
        </w:rPr>
        <w:t>Acesso em: 2 mai. 2025.</w:t>
      </w:r>
    </w:p>
    <w:p w14:paraId="2A221DE6" w14:textId="77777777" w:rsidR="00FE7FC4" w:rsidRDefault="00FE7FC4" w:rsidP="00FE7FC4">
      <w:pPr>
        <w:pBdr>
          <w:top w:val="nil"/>
          <w:left w:val="nil"/>
          <w:bottom w:val="nil"/>
          <w:right w:val="nil"/>
          <w:between w:val="nil"/>
        </w:pBdr>
        <w:spacing w:beforeLines="40" w:before="96" w:afterLines="40" w:after="96"/>
        <w:ind w:left="284" w:right="142"/>
        <w:jc w:val="both"/>
        <w:rPr>
          <w:color w:val="000000" w:themeColor="text1"/>
          <w:spacing w:val="-6"/>
          <w:sz w:val="20"/>
          <w:szCs w:val="20"/>
        </w:rPr>
        <w:sectPr w:rsidR="00FE7FC4" w:rsidSect="00436DFB">
          <w:footerReference w:type="default" r:id="rId33"/>
          <w:type w:val="continuous"/>
          <w:pgSz w:w="11900" w:h="16840" w:code="9"/>
          <w:pgMar w:top="851" w:right="701" w:bottom="851" w:left="992" w:header="0" w:footer="425" w:gutter="0"/>
          <w:pgNumType w:start="20"/>
          <w:cols w:num="2" w:space="283"/>
        </w:sectPr>
      </w:pPr>
    </w:p>
    <w:p w14:paraId="10484132" w14:textId="77777777" w:rsidR="009A3595" w:rsidRDefault="009A3595" w:rsidP="00FE7FC4">
      <w:pPr>
        <w:pBdr>
          <w:top w:val="nil"/>
          <w:left w:val="nil"/>
          <w:bottom w:val="nil"/>
          <w:right w:val="nil"/>
          <w:between w:val="nil"/>
        </w:pBdr>
        <w:spacing w:beforeLines="40" w:before="96" w:afterLines="40" w:after="96"/>
        <w:ind w:left="284" w:right="142"/>
        <w:jc w:val="both"/>
        <w:rPr>
          <w:color w:val="000000" w:themeColor="text1"/>
          <w:spacing w:val="-6"/>
          <w:sz w:val="20"/>
          <w:szCs w:val="20"/>
        </w:rPr>
      </w:pPr>
    </w:p>
    <w:p w14:paraId="6AACFF6E" w14:textId="0DFEFE56" w:rsidR="009714F5" w:rsidRDefault="009714F5" w:rsidP="00FE7FC4">
      <w:pPr>
        <w:pStyle w:val="Corpodetexto"/>
        <w:spacing w:before="39"/>
        <w:ind w:left="284" w:right="142" w:hanging="284"/>
        <w:rPr>
          <w:sz w:val="18"/>
        </w:rPr>
      </w:pPr>
    </w:p>
    <w:sectPr w:rsidR="009714F5" w:rsidSect="007D1375">
      <w:type w:val="continuous"/>
      <w:pgSz w:w="11900" w:h="16840" w:code="9"/>
      <w:pgMar w:top="851" w:right="701" w:bottom="851" w:left="992" w:header="0" w:footer="425"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6D7F" w14:textId="77777777" w:rsidR="00A05ACB" w:rsidRDefault="00A05ACB">
      <w:r>
        <w:separator/>
      </w:r>
    </w:p>
  </w:endnote>
  <w:endnote w:type="continuationSeparator" w:id="0">
    <w:p w14:paraId="12580FB0" w14:textId="77777777" w:rsidR="00A05ACB" w:rsidRDefault="00A0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abriola">
    <w:altName w:val="Gabriola"/>
    <w:panose1 w:val="04040605051002020D02"/>
    <w:charset w:val="00"/>
    <w:family w:val="decorative"/>
    <w:pitch w:val="variable"/>
    <w:sig w:usb0="E00002E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E1C1" w14:textId="25DCB3D0" w:rsidR="009714F5" w:rsidRDefault="00436DFB">
    <w:pPr>
      <w:pStyle w:val="Corpodetexto"/>
      <w:spacing w:before="0" w:line="14" w:lineRule="auto"/>
      <w:ind w:left="0" w:right="0"/>
      <w:jc w:val="left"/>
    </w:pPr>
    <w:r>
      <w:rPr>
        <w:noProof/>
      </w:rPr>
      <mc:AlternateContent>
        <mc:Choice Requires="wps">
          <w:drawing>
            <wp:anchor distT="0" distB="0" distL="0" distR="0" simplePos="0" relativeHeight="251654144" behindDoc="1" locked="0" layoutInCell="1" allowOverlap="1" wp14:anchorId="1FDF68B7" wp14:editId="793A0DCF">
              <wp:simplePos x="0" y="0"/>
              <wp:positionH relativeFrom="page">
                <wp:posOffset>3778250</wp:posOffset>
              </wp:positionH>
              <wp:positionV relativeFrom="page">
                <wp:posOffset>10283825</wp:posOffset>
              </wp:positionV>
              <wp:extent cx="33020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6850"/>
                      </a:xfrm>
                      <a:prstGeom prst="rect">
                        <a:avLst/>
                      </a:prstGeom>
                    </wps:spPr>
                    <wps:txbx>
                      <w:txbxContent>
                        <w:p w14:paraId="4E2C6BB6" w14:textId="6D94B9BC" w:rsidR="00B2411C" w:rsidRPr="004D561E" w:rsidRDefault="00436DFB" w:rsidP="00B2411C">
                          <w:pPr>
                            <w:spacing w:before="20"/>
                            <w:ind w:left="20"/>
                            <w:rPr>
                              <w:spacing w:val="-10"/>
                              <w:lang w:val="pt-BR"/>
                            </w:rPr>
                          </w:pPr>
                          <w:r>
                            <w:rPr>
                              <w:spacing w:val="-10"/>
                              <w:lang w:val="pt-BR"/>
                            </w:rPr>
                            <w:t>20</w:t>
                          </w:r>
                        </w:p>
                      </w:txbxContent>
                    </wps:txbx>
                    <wps:bodyPr wrap="square" lIns="0" tIns="0" rIns="0" bIns="0" rtlCol="0">
                      <a:noAutofit/>
                    </wps:bodyPr>
                  </wps:wsp>
                </a:graphicData>
              </a:graphic>
              <wp14:sizeRelH relativeFrom="margin">
                <wp14:pctWidth>0</wp14:pctWidth>
              </wp14:sizeRelH>
            </wp:anchor>
          </w:drawing>
        </mc:Choice>
        <mc:Fallback>
          <w:pict>
            <v:shapetype w14:anchorId="1FDF68B7" id="_x0000_t202" coordsize="21600,21600" o:spt="202" path="m,l,21600r21600,l21600,xe">
              <v:stroke joinstyle="miter"/>
              <v:path gradientshapeok="t" o:connecttype="rect"/>
            </v:shapetype>
            <v:shape id="Textbox 2" o:spid="_x0000_s1026" type="#_x0000_t202" style="position:absolute;margin-left:297.5pt;margin-top:809.75pt;width:26pt;height:15.5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" filled="f" stroked="f">
              <v:textbox inset="0,0,0,0">
                <w:txbxContent>
                  <w:p w14:paraId="4E2C6BB6" w14:textId="6D94B9BC" w:rsidR="00B2411C" w:rsidRPr="004D561E" w:rsidRDefault="00436DFB" w:rsidP="00B2411C">
                    <w:pPr>
                      <w:spacing w:before="20"/>
                      <w:ind w:left="20"/>
                      <w:rPr>
                        <w:spacing w:val="-10"/>
                        <w:lang w:val="pt-BR"/>
                      </w:rPr>
                    </w:pPr>
                    <w:r>
                      <w:rPr>
                        <w:spacing w:val="-10"/>
                        <w:lang w:val="pt-BR"/>
                      </w:rPr>
                      <w:t>20</w:t>
                    </w:r>
                  </w:p>
                </w:txbxContent>
              </v:textbox>
              <w10:wrap anchorx="page" anchory="page"/>
            </v:shape>
          </w:pict>
        </mc:Fallback>
      </mc:AlternateContent>
    </w:r>
    <w:r w:rsidR="00133C75">
      <w:rPr>
        <w:noProof/>
      </w:rPr>
      <mc:AlternateContent>
        <mc:Choice Requires="wps">
          <w:drawing>
            <wp:anchor distT="0" distB="0" distL="0" distR="0" simplePos="0" relativeHeight="251648000" behindDoc="1" locked="0" layoutInCell="1" allowOverlap="1" wp14:anchorId="50B9FFED" wp14:editId="4962CC6A">
              <wp:simplePos x="0" y="0"/>
              <wp:positionH relativeFrom="page">
                <wp:posOffset>642972</wp:posOffset>
              </wp:positionH>
              <wp:positionV relativeFrom="page">
                <wp:posOffset>10285730</wp:posOffset>
              </wp:positionV>
              <wp:extent cx="8483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360" cy="167640"/>
                      </a:xfrm>
                      <a:prstGeom prst="rect">
                        <a:avLst/>
                      </a:prstGeom>
                    </wps:spPr>
                    <wps:txbx>
                      <w:txbxContent>
                        <w:p w14:paraId="0F7EDEDF" w14:textId="0EB7873A" w:rsidR="009714F5" w:rsidRDefault="00F658D9">
                          <w:pPr>
                            <w:spacing w:before="22"/>
                            <w:ind w:left="20"/>
                            <w:rPr>
                              <w:rFonts w:ascii="Verdana"/>
                              <w:sz w:val="18"/>
                            </w:rPr>
                          </w:pPr>
                          <w:r>
                            <w:rPr>
                              <w:rFonts w:ascii="Verdana"/>
                              <w:spacing w:val="-2"/>
                              <w:w w:val="85"/>
                              <w:sz w:val="18"/>
                            </w:rPr>
                            <w:t>R</w:t>
                          </w:r>
                          <w:r w:rsidR="00133C75">
                            <w:rPr>
                              <w:rFonts w:ascii="Verdana"/>
                              <w:spacing w:val="-2"/>
                              <w:w w:val="85"/>
                              <w:sz w:val="18"/>
                            </w:rPr>
                            <w:t>evista</w:t>
                          </w:r>
                          <w:r>
                            <w:rPr>
                              <w:rFonts w:ascii="Verdana"/>
                              <w:spacing w:val="-11"/>
                              <w:sz w:val="18"/>
                            </w:rPr>
                            <w:t xml:space="preserve"> </w:t>
                          </w:r>
                          <w:r>
                            <w:rPr>
                              <w:rFonts w:ascii="Verdana"/>
                              <w:spacing w:val="-2"/>
                              <w:sz w:val="18"/>
                            </w:rPr>
                            <w:t>FIMCA</w:t>
                          </w:r>
                        </w:p>
                      </w:txbxContent>
                    </wps:txbx>
                    <wps:bodyPr wrap="square" lIns="0" tIns="0" rIns="0" bIns="0" rtlCol="0">
                      <a:noAutofit/>
                    </wps:bodyPr>
                  </wps:wsp>
                </a:graphicData>
              </a:graphic>
            </wp:anchor>
          </w:drawing>
        </mc:Choice>
        <mc:Fallback>
          <w:pict>
            <v:shape w14:anchorId="50B9FFED" id="Textbox 1" o:spid="_x0000_s1027" type="#_x0000_t202" style="position:absolute;margin-left:50.65pt;margin-top:809.9pt;width:66.8pt;height:13.2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" filled="f" stroked="f">
              <v:textbox inset="0,0,0,0">
                <w:txbxContent>
                  <w:p w14:paraId="0F7EDEDF" w14:textId="0EB7873A" w:rsidR="009714F5" w:rsidRDefault="00F658D9">
                    <w:pPr>
                      <w:spacing w:before="22"/>
                      <w:ind w:left="20"/>
                      <w:rPr>
                        <w:rFonts w:ascii="Verdana"/>
                        <w:sz w:val="18"/>
                      </w:rPr>
                    </w:pPr>
                    <w:r>
                      <w:rPr>
                        <w:rFonts w:ascii="Verdana"/>
                        <w:spacing w:val="-2"/>
                        <w:w w:val="85"/>
                        <w:sz w:val="18"/>
                      </w:rPr>
                      <w:t>R</w:t>
                    </w:r>
                    <w:r w:rsidR="00133C75">
                      <w:rPr>
                        <w:rFonts w:ascii="Verdana"/>
                        <w:spacing w:val="-2"/>
                        <w:w w:val="85"/>
                        <w:sz w:val="18"/>
                      </w:rPr>
                      <w:t>evista</w:t>
                    </w:r>
                    <w:r>
                      <w:rPr>
                        <w:rFonts w:ascii="Verdana"/>
                        <w:spacing w:val="-11"/>
                        <w:sz w:val="18"/>
                      </w:rPr>
                      <w:t xml:space="preserve"> </w:t>
                    </w:r>
                    <w:r>
                      <w:rPr>
                        <w:rFonts w:ascii="Verdana"/>
                        <w:spacing w:val="-2"/>
                        <w:sz w:val="18"/>
                      </w:rPr>
                      <w:t>FIMCA</w:t>
                    </w:r>
                  </w:p>
                </w:txbxContent>
              </v:textbox>
              <w10:wrap anchorx="page" anchory="page"/>
            </v:shape>
          </w:pict>
        </mc:Fallback>
      </mc:AlternateContent>
    </w:r>
    <w:r w:rsidR="00EF0F57">
      <w:rPr>
        <w:noProof/>
      </w:rPr>
      <mc:AlternateContent>
        <mc:Choice Requires="wps">
          <w:drawing>
            <wp:anchor distT="0" distB="0" distL="0" distR="0" simplePos="0" relativeHeight="251667456" behindDoc="1" locked="0" layoutInCell="1" allowOverlap="1" wp14:anchorId="4D09D22A" wp14:editId="6B966D5F">
              <wp:simplePos x="0" y="0"/>
              <wp:positionH relativeFrom="margin">
                <wp:align>right</wp:align>
              </wp:positionH>
              <wp:positionV relativeFrom="page">
                <wp:posOffset>10284708</wp:posOffset>
              </wp:positionV>
              <wp:extent cx="2385391" cy="167640"/>
              <wp:effectExtent l="0" t="0" r="0" b="0"/>
              <wp:wrapNone/>
              <wp:docPr id="5442916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391" cy="167640"/>
                      </a:xfrm>
                      <a:prstGeom prst="rect">
                        <a:avLst/>
                      </a:prstGeom>
                    </wps:spPr>
                    <wps:txbx>
                      <w:txbxContent>
                        <w:p w14:paraId="7D208AFE" w14:textId="77777777" w:rsidR="00EF0F57" w:rsidRDefault="00EF0F57" w:rsidP="00EF0F57">
                          <w:pPr>
                            <w:spacing w:line="264" w:lineRule="exact"/>
                            <w:ind w:left="23"/>
                            <w:jc w:val="right"/>
                            <w:rPr>
                              <w:rFonts w:ascii="Verdana" w:eastAsia="Verdana" w:hAnsi="Verdana"/>
                              <w:sz w:val="18"/>
                            </w:rPr>
                          </w:pPr>
                          <w:r>
                            <w:rPr>
                              <w:rFonts w:ascii="Verdana" w:eastAsia="Verdana" w:hAnsi="Verdana"/>
                              <w:spacing w:val="-6"/>
                              <w:sz w:val="18"/>
                            </w:rPr>
                            <w:t>Volume</w:t>
                          </w:r>
                          <w:r>
                            <w:rPr>
                              <w:rFonts w:ascii="Verdana" w:eastAsia="Verdana" w:hAnsi="Verdana"/>
                              <w:spacing w:val="-2"/>
                              <w:sz w:val="18"/>
                            </w:rPr>
                            <w:t xml:space="preserve"> </w:t>
                          </w:r>
                          <w:r>
                            <w:rPr>
                              <w:rFonts w:ascii="Verdana" w:eastAsia="Verdana" w:hAnsi="Verdana"/>
                              <w:spacing w:val="-6"/>
                              <w:sz w:val="18"/>
                            </w:rPr>
                            <w:t>12</w:t>
                          </w:r>
                          <w:r>
                            <w:rPr>
                              <w:rFonts w:ascii="Malgun Gothic" w:eastAsia="Malgun Gothic" w:hAnsi="Malgun Gothic"/>
                              <w:spacing w:val="-6"/>
                              <w:sz w:val="18"/>
                            </w:rPr>
                            <w:t>｜</w:t>
                          </w:r>
                          <w:r>
                            <w:rPr>
                              <w:rFonts w:ascii="Verdana" w:eastAsia="Verdana" w:hAnsi="Verdana"/>
                              <w:spacing w:val="-6"/>
                              <w:sz w:val="18"/>
                            </w:rPr>
                            <w:t>Número</w:t>
                          </w:r>
                          <w:r>
                            <w:rPr>
                              <w:rFonts w:ascii="Verdana" w:eastAsia="Verdana" w:hAnsi="Verdana"/>
                              <w:spacing w:val="-3"/>
                              <w:sz w:val="18"/>
                            </w:rPr>
                            <w:t xml:space="preserve"> </w:t>
                          </w:r>
                          <w:r>
                            <w:rPr>
                              <w:rFonts w:ascii="Verdana" w:eastAsia="Verdana" w:hAnsi="Verdana"/>
                              <w:spacing w:val="-6"/>
                              <w:sz w:val="18"/>
                            </w:rPr>
                            <w:t>1</w:t>
                          </w:r>
                          <w:r>
                            <w:rPr>
                              <w:rFonts w:ascii="Malgun Gothic" w:eastAsia="Malgun Gothic" w:hAnsi="Malgun Gothic"/>
                              <w:spacing w:val="-6"/>
                              <w:sz w:val="18"/>
                            </w:rPr>
                            <w:t>｜</w:t>
                          </w:r>
                          <w:proofErr w:type="gramStart"/>
                          <w:r>
                            <w:rPr>
                              <w:rFonts w:ascii="Verdana" w:eastAsia="Verdana" w:hAnsi="Verdana"/>
                              <w:spacing w:val="-6"/>
                              <w:sz w:val="18"/>
                            </w:rPr>
                            <w:t>Abril</w:t>
                          </w:r>
                          <w:proofErr w:type="gramEnd"/>
                          <w:r>
                            <w:rPr>
                              <w:rFonts w:ascii="Verdana" w:eastAsia="Verdana" w:hAnsi="Verdana"/>
                              <w:spacing w:val="-6"/>
                              <w:sz w:val="18"/>
                            </w:rPr>
                            <w:t>,</w:t>
                          </w:r>
                          <w:r>
                            <w:rPr>
                              <w:rFonts w:ascii="Verdana" w:eastAsia="Verdana" w:hAnsi="Verdana"/>
                              <w:spacing w:val="-1"/>
                              <w:sz w:val="18"/>
                            </w:rPr>
                            <w:t xml:space="preserve"> </w:t>
                          </w:r>
                          <w:r>
                            <w:rPr>
                              <w:rFonts w:ascii="Verdana" w:eastAsia="Verdana" w:hAnsi="Verdana"/>
                              <w:spacing w:val="-6"/>
                              <w:sz w:val="18"/>
                            </w:rPr>
                            <w:t>2025</w:t>
                          </w:r>
                        </w:p>
                      </w:txbxContent>
                    </wps:txbx>
                    <wps:bodyPr wrap="square" lIns="0" tIns="0" rIns="0" bIns="0" rtlCol="0">
                      <a:noAutofit/>
                    </wps:bodyPr>
                  </wps:wsp>
                </a:graphicData>
              </a:graphic>
              <wp14:sizeRelH relativeFrom="margin">
                <wp14:pctWidth>0</wp14:pctWidth>
              </wp14:sizeRelH>
            </wp:anchor>
          </w:drawing>
        </mc:Choice>
        <mc:Fallback>
          <w:pict>
            <v:shape w14:anchorId="4D09D22A" id="Textbox 7" o:spid="_x0000_s1028" type="#_x0000_t202" style="position:absolute;margin-left:136.65pt;margin-top:809.8pt;width:187.85pt;height:13.2pt;z-index:-251649024;visibility:visible;mso-wrap-style:square;mso-width-percent:0;mso-wrap-distance-left:0;mso-wrap-distance-top:0;mso-wrap-distance-right:0;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" filled="f" stroked="f">
              <v:textbox inset="0,0,0,0">
                <w:txbxContent>
                  <w:p w14:paraId="7D208AFE" w14:textId="77777777" w:rsidR="00EF0F57" w:rsidRDefault="00EF0F57" w:rsidP="00EF0F57">
                    <w:pPr>
                      <w:spacing w:line="264" w:lineRule="exact"/>
                      <w:ind w:left="23"/>
                      <w:jc w:val="right"/>
                      <w:rPr>
                        <w:rFonts w:ascii="Verdana" w:eastAsia="Verdana" w:hAnsi="Verdana"/>
                        <w:sz w:val="18"/>
                      </w:rPr>
                    </w:pPr>
                    <w:r>
                      <w:rPr>
                        <w:rFonts w:ascii="Verdana" w:eastAsia="Verdana" w:hAnsi="Verdana"/>
                        <w:spacing w:val="-6"/>
                        <w:sz w:val="18"/>
                      </w:rPr>
                      <w:t>Volume</w:t>
                    </w:r>
                    <w:r>
                      <w:rPr>
                        <w:rFonts w:ascii="Verdana" w:eastAsia="Verdana" w:hAnsi="Verdana"/>
                        <w:spacing w:val="-2"/>
                        <w:sz w:val="18"/>
                      </w:rPr>
                      <w:t xml:space="preserve"> </w:t>
                    </w:r>
                    <w:r>
                      <w:rPr>
                        <w:rFonts w:ascii="Verdana" w:eastAsia="Verdana" w:hAnsi="Verdana"/>
                        <w:spacing w:val="-6"/>
                        <w:sz w:val="18"/>
                      </w:rPr>
                      <w:t>12</w:t>
                    </w:r>
                    <w:r>
                      <w:rPr>
                        <w:rFonts w:ascii="Malgun Gothic" w:eastAsia="Malgun Gothic" w:hAnsi="Malgun Gothic"/>
                        <w:spacing w:val="-6"/>
                        <w:sz w:val="18"/>
                      </w:rPr>
                      <w:t>｜</w:t>
                    </w:r>
                    <w:r>
                      <w:rPr>
                        <w:rFonts w:ascii="Verdana" w:eastAsia="Verdana" w:hAnsi="Verdana"/>
                        <w:spacing w:val="-6"/>
                        <w:sz w:val="18"/>
                      </w:rPr>
                      <w:t>Número</w:t>
                    </w:r>
                    <w:r>
                      <w:rPr>
                        <w:rFonts w:ascii="Verdana" w:eastAsia="Verdana" w:hAnsi="Verdana"/>
                        <w:spacing w:val="-3"/>
                        <w:sz w:val="18"/>
                      </w:rPr>
                      <w:t xml:space="preserve"> </w:t>
                    </w:r>
                    <w:r>
                      <w:rPr>
                        <w:rFonts w:ascii="Verdana" w:eastAsia="Verdana" w:hAnsi="Verdana"/>
                        <w:spacing w:val="-6"/>
                        <w:sz w:val="18"/>
                      </w:rPr>
                      <w:t>1</w:t>
                    </w:r>
                    <w:r>
                      <w:rPr>
                        <w:rFonts w:ascii="Malgun Gothic" w:eastAsia="Malgun Gothic" w:hAnsi="Malgun Gothic"/>
                        <w:spacing w:val="-6"/>
                        <w:sz w:val="18"/>
                      </w:rPr>
                      <w:t>｜</w:t>
                    </w:r>
                    <w:proofErr w:type="gramStart"/>
                    <w:r>
                      <w:rPr>
                        <w:rFonts w:ascii="Verdana" w:eastAsia="Verdana" w:hAnsi="Verdana"/>
                        <w:spacing w:val="-6"/>
                        <w:sz w:val="18"/>
                      </w:rPr>
                      <w:t>Abril</w:t>
                    </w:r>
                    <w:proofErr w:type="gramEnd"/>
                    <w:r>
                      <w:rPr>
                        <w:rFonts w:ascii="Verdana" w:eastAsia="Verdana" w:hAnsi="Verdana"/>
                        <w:spacing w:val="-6"/>
                        <w:sz w:val="18"/>
                      </w:rPr>
                      <w:t>,</w:t>
                    </w:r>
                    <w:r>
                      <w:rPr>
                        <w:rFonts w:ascii="Verdana" w:eastAsia="Verdana" w:hAnsi="Verdana"/>
                        <w:spacing w:val="-1"/>
                        <w:sz w:val="18"/>
                      </w:rPr>
                      <w:t xml:space="preserve"> </w:t>
                    </w:r>
                    <w:r>
                      <w:rPr>
                        <w:rFonts w:ascii="Verdana" w:eastAsia="Verdana" w:hAnsi="Verdana"/>
                        <w:spacing w:val="-6"/>
                        <w:sz w:val="18"/>
                      </w:rPr>
                      <w:t>2025</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7485" w14:textId="3B55F591" w:rsidR="00721BB1" w:rsidRDefault="004D561E" w:rsidP="00B7306A">
    <w:pPr>
      <w:pStyle w:val="Rodap"/>
      <w:jc w:val="center"/>
    </w:pPr>
    <w:r>
      <w:rPr>
        <w:noProof/>
      </w:rPr>
      <mc:AlternateContent>
        <mc:Choice Requires="wps">
          <w:drawing>
            <wp:anchor distT="0" distB="0" distL="0" distR="0" simplePos="0" relativeHeight="251671552" behindDoc="1" locked="0" layoutInCell="1" allowOverlap="1" wp14:anchorId="6BBA8BC6" wp14:editId="7FF600FC">
              <wp:simplePos x="0" y="0"/>
              <wp:positionH relativeFrom="margin">
                <wp:posOffset>4033319</wp:posOffset>
              </wp:positionH>
              <wp:positionV relativeFrom="page">
                <wp:posOffset>10253980</wp:posOffset>
              </wp:positionV>
              <wp:extent cx="2385391" cy="167640"/>
              <wp:effectExtent l="0" t="0" r="0" b="0"/>
              <wp:wrapNone/>
              <wp:docPr id="171205805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391" cy="167640"/>
                      </a:xfrm>
                      <a:prstGeom prst="rect">
                        <a:avLst/>
                      </a:prstGeom>
                    </wps:spPr>
                    <wps:txbx>
                      <w:txbxContent>
                        <w:p w14:paraId="4CF05767" w14:textId="77777777" w:rsidR="004D561E" w:rsidRDefault="004D561E" w:rsidP="004D561E">
                          <w:pPr>
                            <w:spacing w:line="264" w:lineRule="exact"/>
                            <w:ind w:left="23"/>
                            <w:jc w:val="right"/>
                            <w:rPr>
                              <w:rFonts w:ascii="Verdana" w:eastAsia="Verdana" w:hAnsi="Verdana"/>
                              <w:sz w:val="18"/>
                            </w:rPr>
                          </w:pPr>
                          <w:r>
                            <w:rPr>
                              <w:rFonts w:ascii="Verdana" w:eastAsia="Verdana" w:hAnsi="Verdana"/>
                              <w:spacing w:val="-6"/>
                              <w:sz w:val="18"/>
                            </w:rPr>
                            <w:t>Volume</w:t>
                          </w:r>
                          <w:r>
                            <w:rPr>
                              <w:rFonts w:ascii="Verdana" w:eastAsia="Verdana" w:hAnsi="Verdana"/>
                              <w:spacing w:val="-2"/>
                              <w:sz w:val="18"/>
                            </w:rPr>
                            <w:t xml:space="preserve"> </w:t>
                          </w:r>
                          <w:r>
                            <w:rPr>
                              <w:rFonts w:ascii="Verdana" w:eastAsia="Verdana" w:hAnsi="Verdana"/>
                              <w:spacing w:val="-6"/>
                              <w:sz w:val="18"/>
                            </w:rPr>
                            <w:t>12</w:t>
                          </w:r>
                          <w:r>
                            <w:rPr>
                              <w:rFonts w:ascii="Malgun Gothic" w:eastAsia="Malgun Gothic" w:hAnsi="Malgun Gothic"/>
                              <w:spacing w:val="-6"/>
                              <w:sz w:val="18"/>
                            </w:rPr>
                            <w:t>｜</w:t>
                          </w:r>
                          <w:r>
                            <w:rPr>
                              <w:rFonts w:ascii="Verdana" w:eastAsia="Verdana" w:hAnsi="Verdana"/>
                              <w:spacing w:val="-6"/>
                              <w:sz w:val="18"/>
                            </w:rPr>
                            <w:t>Número</w:t>
                          </w:r>
                          <w:r>
                            <w:rPr>
                              <w:rFonts w:ascii="Verdana" w:eastAsia="Verdana" w:hAnsi="Verdana"/>
                              <w:spacing w:val="-3"/>
                              <w:sz w:val="18"/>
                            </w:rPr>
                            <w:t xml:space="preserve"> </w:t>
                          </w:r>
                          <w:r>
                            <w:rPr>
                              <w:rFonts w:ascii="Verdana" w:eastAsia="Verdana" w:hAnsi="Verdana"/>
                              <w:spacing w:val="-6"/>
                              <w:sz w:val="18"/>
                            </w:rPr>
                            <w:t>1</w:t>
                          </w:r>
                          <w:r>
                            <w:rPr>
                              <w:rFonts w:ascii="Malgun Gothic" w:eastAsia="Malgun Gothic" w:hAnsi="Malgun Gothic"/>
                              <w:spacing w:val="-6"/>
                              <w:sz w:val="18"/>
                            </w:rPr>
                            <w:t>｜</w:t>
                          </w:r>
                          <w:proofErr w:type="gramStart"/>
                          <w:r>
                            <w:rPr>
                              <w:rFonts w:ascii="Verdana" w:eastAsia="Verdana" w:hAnsi="Verdana"/>
                              <w:spacing w:val="-6"/>
                              <w:sz w:val="18"/>
                            </w:rPr>
                            <w:t>Abril</w:t>
                          </w:r>
                          <w:proofErr w:type="gramEnd"/>
                          <w:r>
                            <w:rPr>
                              <w:rFonts w:ascii="Verdana" w:eastAsia="Verdana" w:hAnsi="Verdana"/>
                              <w:spacing w:val="-6"/>
                              <w:sz w:val="18"/>
                            </w:rPr>
                            <w:t>,</w:t>
                          </w:r>
                          <w:r>
                            <w:rPr>
                              <w:rFonts w:ascii="Verdana" w:eastAsia="Verdana" w:hAnsi="Verdana"/>
                              <w:spacing w:val="-1"/>
                              <w:sz w:val="18"/>
                            </w:rPr>
                            <w:t xml:space="preserve"> </w:t>
                          </w:r>
                          <w:r>
                            <w:rPr>
                              <w:rFonts w:ascii="Verdana" w:eastAsia="Verdana" w:hAnsi="Verdana"/>
                              <w:spacing w:val="-6"/>
                              <w:sz w:val="18"/>
                            </w:rPr>
                            <w:t>2025</w:t>
                          </w:r>
                        </w:p>
                      </w:txbxContent>
                    </wps:txbx>
                    <wps:bodyPr wrap="square" lIns="0" tIns="0" rIns="0" bIns="0" rtlCol="0">
                      <a:noAutofit/>
                    </wps:bodyPr>
                  </wps:wsp>
                </a:graphicData>
              </a:graphic>
              <wp14:sizeRelH relativeFrom="margin">
                <wp14:pctWidth>0</wp14:pctWidth>
              </wp14:sizeRelH>
            </wp:anchor>
          </w:drawing>
        </mc:Choice>
        <mc:Fallback>
          <w:pict>
            <v:shapetype w14:anchorId="6BBA8BC6" id="_x0000_t202" coordsize="21600,21600" o:spt="202" path="m,l,21600r21600,l21600,xe">
              <v:stroke joinstyle="miter"/>
              <v:path gradientshapeok="t" o:connecttype="rect"/>
            </v:shapetype>
            <v:shape id="_x0000_s1029" type="#_x0000_t202" style="position:absolute;left:0;text-align:left;margin-left:317.6pt;margin-top:807.4pt;width:187.85pt;height:13.2pt;z-index:-251644928;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" filled="f" stroked="f">
              <v:textbox inset="0,0,0,0">
                <w:txbxContent>
                  <w:p w14:paraId="4CF05767" w14:textId="77777777" w:rsidR="004D561E" w:rsidRDefault="004D561E" w:rsidP="004D561E">
                    <w:pPr>
                      <w:spacing w:line="264" w:lineRule="exact"/>
                      <w:ind w:left="23"/>
                      <w:jc w:val="right"/>
                      <w:rPr>
                        <w:rFonts w:ascii="Verdana" w:eastAsia="Verdana" w:hAnsi="Verdana"/>
                        <w:sz w:val="18"/>
                      </w:rPr>
                    </w:pPr>
                    <w:r>
                      <w:rPr>
                        <w:rFonts w:ascii="Verdana" w:eastAsia="Verdana" w:hAnsi="Verdana"/>
                        <w:spacing w:val="-6"/>
                        <w:sz w:val="18"/>
                      </w:rPr>
                      <w:t>Volume</w:t>
                    </w:r>
                    <w:r>
                      <w:rPr>
                        <w:rFonts w:ascii="Verdana" w:eastAsia="Verdana" w:hAnsi="Verdana"/>
                        <w:spacing w:val="-2"/>
                        <w:sz w:val="18"/>
                      </w:rPr>
                      <w:t xml:space="preserve"> </w:t>
                    </w:r>
                    <w:r>
                      <w:rPr>
                        <w:rFonts w:ascii="Verdana" w:eastAsia="Verdana" w:hAnsi="Verdana"/>
                        <w:spacing w:val="-6"/>
                        <w:sz w:val="18"/>
                      </w:rPr>
                      <w:t>12</w:t>
                    </w:r>
                    <w:r>
                      <w:rPr>
                        <w:rFonts w:ascii="Malgun Gothic" w:eastAsia="Malgun Gothic" w:hAnsi="Malgun Gothic"/>
                        <w:spacing w:val="-6"/>
                        <w:sz w:val="18"/>
                      </w:rPr>
                      <w:t>｜</w:t>
                    </w:r>
                    <w:r>
                      <w:rPr>
                        <w:rFonts w:ascii="Verdana" w:eastAsia="Verdana" w:hAnsi="Verdana"/>
                        <w:spacing w:val="-6"/>
                        <w:sz w:val="18"/>
                      </w:rPr>
                      <w:t>Número</w:t>
                    </w:r>
                    <w:r>
                      <w:rPr>
                        <w:rFonts w:ascii="Verdana" w:eastAsia="Verdana" w:hAnsi="Verdana"/>
                        <w:spacing w:val="-3"/>
                        <w:sz w:val="18"/>
                      </w:rPr>
                      <w:t xml:space="preserve"> </w:t>
                    </w:r>
                    <w:r>
                      <w:rPr>
                        <w:rFonts w:ascii="Verdana" w:eastAsia="Verdana" w:hAnsi="Verdana"/>
                        <w:spacing w:val="-6"/>
                        <w:sz w:val="18"/>
                      </w:rPr>
                      <w:t>1</w:t>
                    </w:r>
                    <w:r>
                      <w:rPr>
                        <w:rFonts w:ascii="Malgun Gothic" w:eastAsia="Malgun Gothic" w:hAnsi="Malgun Gothic"/>
                        <w:spacing w:val="-6"/>
                        <w:sz w:val="18"/>
                      </w:rPr>
                      <w:t>｜</w:t>
                    </w:r>
                    <w:proofErr w:type="gramStart"/>
                    <w:r>
                      <w:rPr>
                        <w:rFonts w:ascii="Verdana" w:eastAsia="Verdana" w:hAnsi="Verdana"/>
                        <w:spacing w:val="-6"/>
                        <w:sz w:val="18"/>
                      </w:rPr>
                      <w:t>Abril</w:t>
                    </w:r>
                    <w:proofErr w:type="gramEnd"/>
                    <w:r>
                      <w:rPr>
                        <w:rFonts w:ascii="Verdana" w:eastAsia="Verdana" w:hAnsi="Verdana"/>
                        <w:spacing w:val="-6"/>
                        <w:sz w:val="18"/>
                      </w:rPr>
                      <w:t>,</w:t>
                    </w:r>
                    <w:r>
                      <w:rPr>
                        <w:rFonts w:ascii="Verdana" w:eastAsia="Verdana" w:hAnsi="Verdana"/>
                        <w:spacing w:val="-1"/>
                        <w:sz w:val="18"/>
                      </w:rPr>
                      <w:t xml:space="preserve"> </w:t>
                    </w:r>
                    <w:r>
                      <w:rPr>
                        <w:rFonts w:ascii="Verdana" w:eastAsia="Verdana" w:hAnsi="Verdana"/>
                        <w:spacing w:val="-6"/>
                        <w:sz w:val="18"/>
                      </w:rPr>
                      <w:t>2025</w:t>
                    </w:r>
                  </w:p>
                </w:txbxContent>
              </v:textbox>
              <w10:wrap anchorx="margin" anchory="page"/>
            </v:shape>
          </w:pict>
        </mc:Fallback>
      </mc:AlternateContent>
    </w:r>
    <w:r>
      <w:rPr>
        <w:noProof/>
      </w:rPr>
      <mc:AlternateContent>
        <mc:Choice Requires="wps">
          <w:drawing>
            <wp:anchor distT="0" distB="0" distL="0" distR="0" simplePos="0" relativeHeight="251669504" behindDoc="1" locked="0" layoutInCell="1" allowOverlap="1" wp14:anchorId="78CA2588" wp14:editId="7E0ECA10">
              <wp:simplePos x="0" y="0"/>
              <wp:positionH relativeFrom="page">
                <wp:posOffset>629920</wp:posOffset>
              </wp:positionH>
              <wp:positionV relativeFrom="page">
                <wp:posOffset>10253980</wp:posOffset>
              </wp:positionV>
              <wp:extent cx="848360" cy="167640"/>
              <wp:effectExtent l="0" t="0" r="0" b="0"/>
              <wp:wrapNone/>
              <wp:docPr id="209280231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360" cy="167640"/>
                      </a:xfrm>
                      <a:prstGeom prst="rect">
                        <a:avLst/>
                      </a:prstGeom>
                    </wps:spPr>
                    <wps:txbx>
                      <w:txbxContent>
                        <w:p w14:paraId="36EC9BD1" w14:textId="77777777" w:rsidR="004D561E" w:rsidRDefault="004D561E" w:rsidP="004D561E">
                          <w:pPr>
                            <w:spacing w:before="22"/>
                            <w:ind w:left="20"/>
                            <w:rPr>
                              <w:rFonts w:ascii="Verdana"/>
                              <w:sz w:val="18"/>
                            </w:rPr>
                          </w:pPr>
                          <w:r>
                            <w:rPr>
                              <w:rFonts w:ascii="Verdana"/>
                              <w:spacing w:val="-2"/>
                              <w:w w:val="85"/>
                              <w:sz w:val="18"/>
                            </w:rPr>
                            <w:t>Revista</w:t>
                          </w:r>
                          <w:r>
                            <w:rPr>
                              <w:rFonts w:ascii="Verdana"/>
                              <w:spacing w:val="-11"/>
                              <w:sz w:val="18"/>
                            </w:rPr>
                            <w:t xml:space="preserve"> </w:t>
                          </w:r>
                          <w:r>
                            <w:rPr>
                              <w:rFonts w:ascii="Verdana"/>
                              <w:spacing w:val="-2"/>
                              <w:sz w:val="18"/>
                            </w:rPr>
                            <w:t>FIMCA</w:t>
                          </w:r>
                        </w:p>
                      </w:txbxContent>
                    </wps:txbx>
                    <wps:bodyPr wrap="square" lIns="0" tIns="0" rIns="0" bIns="0" rtlCol="0">
                      <a:noAutofit/>
                    </wps:bodyPr>
                  </wps:wsp>
                </a:graphicData>
              </a:graphic>
            </wp:anchor>
          </w:drawing>
        </mc:Choice>
        <mc:Fallback>
          <w:pict>
            <v:shape w14:anchorId="78CA2588" id="_x0000_s1030" type="#_x0000_t202" style="position:absolute;left:0;text-align:left;margin-left:49.6pt;margin-top:807.4pt;width:66.8pt;height:13.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" filled="f" stroked="f">
              <v:textbox inset="0,0,0,0">
                <w:txbxContent>
                  <w:p w14:paraId="36EC9BD1" w14:textId="77777777" w:rsidR="004D561E" w:rsidRDefault="004D561E" w:rsidP="004D561E">
                    <w:pPr>
                      <w:spacing w:before="22"/>
                      <w:ind w:left="20"/>
                      <w:rPr>
                        <w:rFonts w:ascii="Verdana"/>
                        <w:sz w:val="18"/>
                      </w:rPr>
                    </w:pPr>
                    <w:r>
                      <w:rPr>
                        <w:rFonts w:ascii="Verdana"/>
                        <w:spacing w:val="-2"/>
                        <w:w w:val="85"/>
                        <w:sz w:val="18"/>
                      </w:rPr>
                      <w:t>Revista</w:t>
                    </w:r>
                    <w:r>
                      <w:rPr>
                        <w:rFonts w:ascii="Verdana"/>
                        <w:spacing w:val="-11"/>
                        <w:sz w:val="18"/>
                      </w:rPr>
                      <w:t xml:space="preserve"> </w:t>
                    </w:r>
                    <w:r>
                      <w:rPr>
                        <w:rFonts w:ascii="Verdana"/>
                        <w:spacing w:val="-2"/>
                        <w:sz w:val="18"/>
                      </w:rPr>
                      <w:t>FIMCA</w:t>
                    </w:r>
                  </w:p>
                </w:txbxContent>
              </v:textbox>
              <w10:wrap anchorx="page" anchory="page"/>
            </v:shape>
          </w:pict>
        </mc:Fallback>
      </mc:AlternateContent>
    </w:r>
    <w:sdt>
      <w:sdtPr>
        <w:id w:val="1146781701"/>
        <w:docPartObj>
          <w:docPartGallery w:val="Page Numbers (Bottom of Page)"/>
          <w:docPartUnique/>
        </w:docPartObj>
      </w:sdtPr>
      <w:sdtEndPr/>
      <w:sdtContent>
        <w:r w:rsidR="00721BB1">
          <w:fldChar w:fldCharType="begin"/>
        </w:r>
        <w:r w:rsidR="00721BB1">
          <w:instrText>PAGE   \* MERGEFORMAT</w:instrText>
        </w:r>
        <w:r w:rsidR="00721BB1">
          <w:fldChar w:fldCharType="separate"/>
        </w:r>
        <w:r w:rsidR="00721BB1">
          <w:rPr>
            <w:lang w:val="pt-BR"/>
          </w:rPr>
          <w:t>2</w:t>
        </w:r>
        <w:r w:rsidR="00721BB1">
          <w:fldChar w:fldCharType="end"/>
        </w:r>
      </w:sdtContent>
    </w:sdt>
  </w:p>
  <w:p w14:paraId="1E7CE708" w14:textId="16779B67" w:rsidR="009714F5" w:rsidRDefault="009714F5">
    <w:pPr>
      <w:pStyle w:val="Corpodetexto"/>
      <w:spacing w:before="0" w:line="14"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D7EF" w14:textId="77777777" w:rsidR="00A05ACB" w:rsidRDefault="00A05ACB">
      <w:r>
        <w:separator/>
      </w:r>
    </w:p>
  </w:footnote>
  <w:footnote w:type="continuationSeparator" w:id="0">
    <w:p w14:paraId="55894D9D" w14:textId="77777777" w:rsidR="00A05ACB" w:rsidRDefault="00A05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F5"/>
    <w:rsid w:val="00014C4B"/>
    <w:rsid w:val="00014D71"/>
    <w:rsid w:val="00027796"/>
    <w:rsid w:val="00042AE7"/>
    <w:rsid w:val="00062A4B"/>
    <w:rsid w:val="00065B5A"/>
    <w:rsid w:val="000673DF"/>
    <w:rsid w:val="000A1FC2"/>
    <w:rsid w:val="000C232A"/>
    <w:rsid w:val="000C67DF"/>
    <w:rsid w:val="000D1C04"/>
    <w:rsid w:val="000D3C5F"/>
    <w:rsid w:val="000E01CB"/>
    <w:rsid w:val="00133C75"/>
    <w:rsid w:val="001671DD"/>
    <w:rsid w:val="00171FC8"/>
    <w:rsid w:val="00172148"/>
    <w:rsid w:val="00196D2B"/>
    <w:rsid w:val="001C0538"/>
    <w:rsid w:val="001C30B2"/>
    <w:rsid w:val="001C3CA1"/>
    <w:rsid w:val="001D07EB"/>
    <w:rsid w:val="001F32D7"/>
    <w:rsid w:val="0023055E"/>
    <w:rsid w:val="00240155"/>
    <w:rsid w:val="00243063"/>
    <w:rsid w:val="00256768"/>
    <w:rsid w:val="00262803"/>
    <w:rsid w:val="00263A08"/>
    <w:rsid w:val="0028195B"/>
    <w:rsid w:val="002973C1"/>
    <w:rsid w:val="002B5A73"/>
    <w:rsid w:val="002D66C1"/>
    <w:rsid w:val="002D7CD0"/>
    <w:rsid w:val="002F73BA"/>
    <w:rsid w:val="002F79C1"/>
    <w:rsid w:val="00303BEC"/>
    <w:rsid w:val="00305F0B"/>
    <w:rsid w:val="003300E5"/>
    <w:rsid w:val="0034069E"/>
    <w:rsid w:val="003675B3"/>
    <w:rsid w:val="00383815"/>
    <w:rsid w:val="003B74E5"/>
    <w:rsid w:val="003E5A8E"/>
    <w:rsid w:val="003E5EF1"/>
    <w:rsid w:val="003F4D22"/>
    <w:rsid w:val="00404E5F"/>
    <w:rsid w:val="00406643"/>
    <w:rsid w:val="0041227C"/>
    <w:rsid w:val="00413A81"/>
    <w:rsid w:val="0043634E"/>
    <w:rsid w:val="00436DFB"/>
    <w:rsid w:val="004419DC"/>
    <w:rsid w:val="00462C77"/>
    <w:rsid w:val="00495C60"/>
    <w:rsid w:val="004C0165"/>
    <w:rsid w:val="004C3AA6"/>
    <w:rsid w:val="004D561E"/>
    <w:rsid w:val="004F3479"/>
    <w:rsid w:val="0050534C"/>
    <w:rsid w:val="005255A7"/>
    <w:rsid w:val="0053140F"/>
    <w:rsid w:val="005503F2"/>
    <w:rsid w:val="005A4BE5"/>
    <w:rsid w:val="005C2B36"/>
    <w:rsid w:val="005E0534"/>
    <w:rsid w:val="005E639B"/>
    <w:rsid w:val="005E6AC8"/>
    <w:rsid w:val="005F6655"/>
    <w:rsid w:val="005F6EF9"/>
    <w:rsid w:val="00605FFB"/>
    <w:rsid w:val="0061755D"/>
    <w:rsid w:val="0063037E"/>
    <w:rsid w:val="00632825"/>
    <w:rsid w:val="0064759F"/>
    <w:rsid w:val="006A6EB8"/>
    <w:rsid w:val="006C6E02"/>
    <w:rsid w:val="006D755C"/>
    <w:rsid w:val="006E6276"/>
    <w:rsid w:val="006E6C79"/>
    <w:rsid w:val="00721BB1"/>
    <w:rsid w:val="00733F5E"/>
    <w:rsid w:val="0073796B"/>
    <w:rsid w:val="00746CC5"/>
    <w:rsid w:val="007550ED"/>
    <w:rsid w:val="007563AD"/>
    <w:rsid w:val="00761EA9"/>
    <w:rsid w:val="0077496B"/>
    <w:rsid w:val="0077627D"/>
    <w:rsid w:val="00776DAC"/>
    <w:rsid w:val="00791976"/>
    <w:rsid w:val="007C14E6"/>
    <w:rsid w:val="007D0ACE"/>
    <w:rsid w:val="007D1375"/>
    <w:rsid w:val="007F5489"/>
    <w:rsid w:val="00825A6F"/>
    <w:rsid w:val="00855B65"/>
    <w:rsid w:val="00890522"/>
    <w:rsid w:val="008C165C"/>
    <w:rsid w:val="008E714A"/>
    <w:rsid w:val="009061FE"/>
    <w:rsid w:val="00923925"/>
    <w:rsid w:val="00930569"/>
    <w:rsid w:val="00932E60"/>
    <w:rsid w:val="00966F33"/>
    <w:rsid w:val="009714F5"/>
    <w:rsid w:val="009A1309"/>
    <w:rsid w:val="009A3595"/>
    <w:rsid w:val="009B7A7B"/>
    <w:rsid w:val="009C3DA7"/>
    <w:rsid w:val="009D7EE4"/>
    <w:rsid w:val="009E160F"/>
    <w:rsid w:val="009E1F01"/>
    <w:rsid w:val="009E65A3"/>
    <w:rsid w:val="00A021B5"/>
    <w:rsid w:val="00A046B3"/>
    <w:rsid w:val="00A05ACB"/>
    <w:rsid w:val="00A05B2D"/>
    <w:rsid w:val="00A2369D"/>
    <w:rsid w:val="00A27D7A"/>
    <w:rsid w:val="00A32147"/>
    <w:rsid w:val="00A32AEF"/>
    <w:rsid w:val="00A40A0C"/>
    <w:rsid w:val="00A57EEC"/>
    <w:rsid w:val="00AB2834"/>
    <w:rsid w:val="00AD5863"/>
    <w:rsid w:val="00AE4343"/>
    <w:rsid w:val="00AF0E2B"/>
    <w:rsid w:val="00B15CC2"/>
    <w:rsid w:val="00B22F01"/>
    <w:rsid w:val="00B23C26"/>
    <w:rsid w:val="00B2411C"/>
    <w:rsid w:val="00B32301"/>
    <w:rsid w:val="00B33E50"/>
    <w:rsid w:val="00B60379"/>
    <w:rsid w:val="00B64A45"/>
    <w:rsid w:val="00B673FD"/>
    <w:rsid w:val="00B7306A"/>
    <w:rsid w:val="00B87FDE"/>
    <w:rsid w:val="00BA6581"/>
    <w:rsid w:val="00BF3356"/>
    <w:rsid w:val="00C005D2"/>
    <w:rsid w:val="00C02466"/>
    <w:rsid w:val="00C25819"/>
    <w:rsid w:val="00C80F45"/>
    <w:rsid w:val="00C82947"/>
    <w:rsid w:val="00C830E4"/>
    <w:rsid w:val="00C8403B"/>
    <w:rsid w:val="00C85116"/>
    <w:rsid w:val="00C90840"/>
    <w:rsid w:val="00CA2926"/>
    <w:rsid w:val="00D12A1F"/>
    <w:rsid w:val="00D13D41"/>
    <w:rsid w:val="00D33461"/>
    <w:rsid w:val="00D41ACF"/>
    <w:rsid w:val="00D43F5B"/>
    <w:rsid w:val="00D510C3"/>
    <w:rsid w:val="00D558CE"/>
    <w:rsid w:val="00D64C7B"/>
    <w:rsid w:val="00D743B8"/>
    <w:rsid w:val="00D77903"/>
    <w:rsid w:val="00D85DE8"/>
    <w:rsid w:val="00DD1BDE"/>
    <w:rsid w:val="00DE66F9"/>
    <w:rsid w:val="00E441A7"/>
    <w:rsid w:val="00E560CD"/>
    <w:rsid w:val="00E573A0"/>
    <w:rsid w:val="00E671DD"/>
    <w:rsid w:val="00E7189A"/>
    <w:rsid w:val="00E81E7C"/>
    <w:rsid w:val="00E9388C"/>
    <w:rsid w:val="00EC06AA"/>
    <w:rsid w:val="00EC5A29"/>
    <w:rsid w:val="00ED632B"/>
    <w:rsid w:val="00EF054A"/>
    <w:rsid w:val="00EF0F57"/>
    <w:rsid w:val="00EF6EF1"/>
    <w:rsid w:val="00F030A4"/>
    <w:rsid w:val="00F140E2"/>
    <w:rsid w:val="00F25C6E"/>
    <w:rsid w:val="00F30C26"/>
    <w:rsid w:val="00F41C82"/>
    <w:rsid w:val="00F60832"/>
    <w:rsid w:val="00F658D9"/>
    <w:rsid w:val="00F7230F"/>
    <w:rsid w:val="00FB531A"/>
    <w:rsid w:val="00FC05C0"/>
    <w:rsid w:val="00FD4206"/>
    <w:rsid w:val="00FE383D"/>
    <w:rsid w:val="00FE7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BA035"/>
  <w15:docId w15:val="{51132C70-F857-4C1B-A8BE-7EE8ED3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33"/>
      <w:ind w:left="140"/>
      <w:outlineLvl w:val="0"/>
    </w:pPr>
    <w:rPr>
      <w:b/>
      <w:bCs/>
      <w:sz w:val="24"/>
      <w:szCs w:val="24"/>
    </w:rPr>
  </w:style>
  <w:style w:type="paragraph" w:styleId="Ttulo2">
    <w:name w:val="heading 2"/>
    <w:basedOn w:val="Normal"/>
    <w:next w:val="Normal"/>
    <w:link w:val="Ttulo2Char"/>
    <w:uiPriority w:val="9"/>
    <w:semiHidden/>
    <w:unhideWhenUsed/>
    <w:qFormat/>
    <w:rsid w:val="007D13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7D13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1"/>
      <w:ind w:left="140" w:right="134"/>
      <w:jc w:val="both"/>
    </w:pPr>
    <w:rPr>
      <w:sz w:val="20"/>
      <w:szCs w:val="20"/>
    </w:rPr>
  </w:style>
  <w:style w:type="paragraph" w:styleId="Ttulo">
    <w:name w:val="Title"/>
    <w:basedOn w:val="Normal"/>
    <w:uiPriority w:val="10"/>
    <w:qFormat/>
    <w:pPr>
      <w:spacing w:before="84"/>
      <w:ind w:left="140" w:right="135"/>
    </w:pPr>
    <w:rPr>
      <w:rFonts w:ascii="Verdana" w:eastAsia="Verdana" w:hAnsi="Verdana" w:cs="Verdana"/>
      <w:sz w:val="36"/>
      <w:szCs w:val="3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85116"/>
    <w:pPr>
      <w:tabs>
        <w:tab w:val="center" w:pos="4252"/>
        <w:tab w:val="right" w:pos="8504"/>
      </w:tabs>
    </w:pPr>
  </w:style>
  <w:style w:type="character" w:customStyle="1" w:styleId="CabealhoChar">
    <w:name w:val="Cabeçalho Char"/>
    <w:basedOn w:val="Fontepargpadro"/>
    <w:link w:val="Cabealho"/>
    <w:uiPriority w:val="99"/>
    <w:rsid w:val="00C85116"/>
    <w:rPr>
      <w:rFonts w:ascii="Times New Roman" w:eastAsia="Times New Roman" w:hAnsi="Times New Roman" w:cs="Times New Roman"/>
      <w:lang w:val="pt-PT"/>
    </w:rPr>
  </w:style>
  <w:style w:type="paragraph" w:styleId="Rodap">
    <w:name w:val="footer"/>
    <w:basedOn w:val="Normal"/>
    <w:link w:val="RodapChar"/>
    <w:uiPriority w:val="99"/>
    <w:unhideWhenUsed/>
    <w:rsid w:val="00C85116"/>
    <w:pPr>
      <w:tabs>
        <w:tab w:val="center" w:pos="4252"/>
        <w:tab w:val="right" w:pos="8504"/>
      </w:tabs>
    </w:pPr>
  </w:style>
  <w:style w:type="character" w:customStyle="1" w:styleId="RodapChar">
    <w:name w:val="Rodapé Char"/>
    <w:basedOn w:val="Fontepargpadro"/>
    <w:link w:val="Rodap"/>
    <w:uiPriority w:val="99"/>
    <w:rsid w:val="00C85116"/>
    <w:rPr>
      <w:rFonts w:ascii="Times New Roman" w:eastAsia="Times New Roman" w:hAnsi="Times New Roman" w:cs="Times New Roman"/>
      <w:lang w:val="pt-PT"/>
    </w:rPr>
  </w:style>
  <w:style w:type="character" w:styleId="Hyperlink">
    <w:name w:val="Hyperlink"/>
    <w:basedOn w:val="Fontepargpadro"/>
    <w:uiPriority w:val="99"/>
    <w:unhideWhenUsed/>
    <w:rsid w:val="00923925"/>
    <w:rPr>
      <w:color w:val="0000FF" w:themeColor="hyperlink"/>
      <w:u w:val="single"/>
    </w:rPr>
  </w:style>
  <w:style w:type="character" w:styleId="MenoPendente">
    <w:name w:val="Unresolved Mention"/>
    <w:basedOn w:val="Fontepargpadro"/>
    <w:uiPriority w:val="99"/>
    <w:semiHidden/>
    <w:unhideWhenUsed/>
    <w:rsid w:val="00923925"/>
    <w:rPr>
      <w:color w:val="605E5C"/>
      <w:shd w:val="clear" w:color="auto" w:fill="E1DFDD"/>
    </w:rPr>
  </w:style>
  <w:style w:type="character" w:styleId="nfase">
    <w:name w:val="Emphasis"/>
    <w:basedOn w:val="Fontepargpadro"/>
    <w:uiPriority w:val="20"/>
    <w:qFormat/>
    <w:rsid w:val="00E560CD"/>
    <w:rPr>
      <w:i/>
      <w:iCs/>
    </w:rPr>
  </w:style>
  <w:style w:type="character" w:styleId="HiperlinkVisitado">
    <w:name w:val="FollowedHyperlink"/>
    <w:basedOn w:val="Fontepargpadro"/>
    <w:uiPriority w:val="99"/>
    <w:semiHidden/>
    <w:unhideWhenUsed/>
    <w:rsid w:val="00172148"/>
    <w:rPr>
      <w:color w:val="800080" w:themeColor="followedHyperlink"/>
      <w:u w:val="single"/>
    </w:rPr>
  </w:style>
  <w:style w:type="character" w:customStyle="1" w:styleId="Ttulo2Char">
    <w:name w:val="Título 2 Char"/>
    <w:basedOn w:val="Fontepargpadro"/>
    <w:link w:val="Ttulo2"/>
    <w:uiPriority w:val="9"/>
    <w:semiHidden/>
    <w:rsid w:val="007D1375"/>
    <w:rPr>
      <w:rFonts w:asciiTheme="majorHAnsi" w:eastAsiaTheme="majorEastAsia" w:hAnsiTheme="majorHAnsi" w:cstheme="majorBidi"/>
      <w:color w:val="365F91" w:themeColor="accent1" w:themeShade="BF"/>
      <w:sz w:val="26"/>
      <w:szCs w:val="26"/>
      <w:lang w:val="pt-PT"/>
    </w:rPr>
  </w:style>
  <w:style w:type="character" w:customStyle="1" w:styleId="Ttulo3Char">
    <w:name w:val="Título 3 Char"/>
    <w:basedOn w:val="Fontepargpadro"/>
    <w:link w:val="Ttulo3"/>
    <w:uiPriority w:val="9"/>
    <w:semiHidden/>
    <w:rsid w:val="007D1375"/>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55892/jrg.v8i18.1788" TargetMode="External"/><Relationship Id="rId18" Type="http://schemas.openxmlformats.org/officeDocument/2006/relationships/hyperlink" Target="https://doi.org/10.1016/j.euroneuro.2021.10.003" TargetMode="External"/><Relationship Id="rId26" Type="http://schemas.openxmlformats.org/officeDocument/2006/relationships/hyperlink" Target="https://doi.org/10.1016/j.paid.2022.111592" TargetMode="External"/><Relationship Id="rId3" Type="http://schemas.openxmlformats.org/officeDocument/2006/relationships/customXml" Target="../customXml/item3.xml"/><Relationship Id="rId21" Type="http://schemas.openxmlformats.org/officeDocument/2006/relationships/hyperlink" Target="https://doi.org/10.3233/JPN-2011-0494"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oi.org/10.55905/revconv.17n.12-100" TargetMode="External"/><Relationship Id="rId17" Type="http://schemas.openxmlformats.org/officeDocument/2006/relationships/hyperlink" Target="https://doi.org/10.1016/j.neubiorev.2021.01.022" TargetMode="External"/><Relationship Id="rId25" Type="http://schemas.openxmlformats.org/officeDocument/2006/relationships/hyperlink" Target="https://www.ncbi.nlm.nih.gov/books/NBK558998/"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016/j.neubiorev.2021.01.022" TargetMode="External"/><Relationship Id="rId20" Type="http://schemas.openxmlformats.org/officeDocument/2006/relationships/hyperlink" Target="https://doi.org/10.3233/JPN-2011-0494" TargetMode="External"/><Relationship Id="rId29" Type="http://schemas.openxmlformats.org/officeDocument/2006/relationships/hyperlink" Target="%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ncbi.nlm.nih.gov/books/NBK558998/" TargetMode="External"/><Relationship Id="rId32" Type="http://schemas.openxmlformats.org/officeDocument/2006/relationships/hyperlink" Target="https://doi.org/10.1097/WNF.0000000000000407" TargetMode="External"/><Relationship Id="rId5" Type="http://schemas.openxmlformats.org/officeDocument/2006/relationships/styles" Target="styles.xml"/><Relationship Id="rId15" Type="http://schemas.openxmlformats.org/officeDocument/2006/relationships/hyperlink" Target="https://www.ncbi.nlm.nih.gov/books/NBK559052/" TargetMode="External"/><Relationship Id="rId23" Type="http://schemas.openxmlformats.org/officeDocument/2006/relationships/hyperlink" Target="https://doi.org/10.12998/wjcc.v7.i17.2420" TargetMode="External"/><Relationship Id="rId28" Type="http://schemas.openxmlformats.org/officeDocument/2006/relationships/hyperlink" Target="https://doi.org/10.1176/appi.ajp.161.10.1814" TargetMode="External"/><Relationship Id="rId10" Type="http://schemas.openxmlformats.org/officeDocument/2006/relationships/hyperlink" Target="https://doi.org/10.37157/fimca.v12i1.1122" TargetMode="External"/><Relationship Id="rId19" Type="http://schemas.openxmlformats.org/officeDocument/2006/relationships/hyperlink" Target="https://doi.org/10.1016/j.euroneuro.2021.10.003" TargetMode="External"/><Relationship Id="rId31" Type="http://schemas.openxmlformats.org/officeDocument/2006/relationships/hyperlink" Target="https://doi.org/10.1097/WNF.0000000000000407"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ncbi.nlm.nih.gov/books/NBK559052/" TargetMode="External"/><Relationship Id="rId22" Type="http://schemas.openxmlformats.org/officeDocument/2006/relationships/hyperlink" Target="https://doi.org/10.12998/wjcc.v7.i17.2420" TargetMode="External"/><Relationship Id="rId27" Type="http://schemas.openxmlformats.org/officeDocument/2006/relationships/hyperlink" Target="https://doi.org/10.1016/j.paid.2022.111592" TargetMode="External"/><Relationship Id="rId30" Type="http://schemas.openxmlformats.org/officeDocument/2006/relationships/hyperlink" Target="https://apps.who.int/iris/handle/10665/44793"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e8ba1b-38d5-4b1f-90cb-af913efac7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6D99DE860F20043B13FD0D2C6F8E5C7" ma:contentTypeVersion="11" ma:contentTypeDescription="Crie um novo documento." ma:contentTypeScope="" ma:versionID="9492a7e19dd1870353a2780b3f32c7d9">
  <xsd:schema xmlns:xsd="http://www.w3.org/2001/XMLSchema" xmlns:xs="http://www.w3.org/2001/XMLSchema" xmlns:p="http://schemas.microsoft.com/office/2006/metadata/properties" xmlns:ns3="cce8ba1b-38d5-4b1f-90cb-af913efac7e0" targetNamespace="http://schemas.microsoft.com/office/2006/metadata/properties" ma:root="true" ma:fieldsID="9eaf66ca15bd90a12366f0822d51f476" ns3:_="">
    <xsd:import namespace="cce8ba1b-38d5-4b1f-90cb-af913efac7e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8ba1b-38d5-4b1f-90cb-af913efac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0E075-8A8D-43B4-88CC-604B1FB63894}">
  <ds:schemaRefs>
    <ds:schemaRef ds:uri="http://schemas.microsoft.com/office/2006/metadata/properties"/>
    <ds:schemaRef ds:uri="http://schemas.microsoft.com/office/infopath/2007/PartnerControls"/>
    <ds:schemaRef ds:uri="cce8ba1b-38d5-4b1f-90cb-af913efac7e0"/>
  </ds:schemaRefs>
</ds:datastoreItem>
</file>

<file path=customXml/itemProps2.xml><?xml version="1.0" encoding="utf-8"?>
<ds:datastoreItem xmlns:ds="http://schemas.openxmlformats.org/officeDocument/2006/customXml" ds:itemID="{5861A06C-801B-49A5-B047-3B312D66DBC0}">
  <ds:schemaRefs>
    <ds:schemaRef ds:uri="http://schemas.microsoft.com/sharepoint/v3/contenttype/forms"/>
  </ds:schemaRefs>
</ds:datastoreItem>
</file>

<file path=customXml/itemProps3.xml><?xml version="1.0" encoding="utf-8"?>
<ds:datastoreItem xmlns:ds="http://schemas.openxmlformats.org/officeDocument/2006/customXml" ds:itemID="{4C131448-A7F8-4281-A765-8774A0822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8ba1b-38d5-4b1f-90cb-af913efac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74779-5849-4E58-A776-5EEA04AC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8782</Words>
  <Characters>47425</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de Azevedo Calderon</dc:creator>
  <cp:lastModifiedBy>Leonardo de Azevedo Calderon</cp:lastModifiedBy>
  <cp:revision>60</cp:revision>
  <dcterms:created xsi:type="dcterms:W3CDTF">2025-07-07T19:45:00Z</dcterms:created>
  <dcterms:modified xsi:type="dcterms:W3CDTF">2025-07-07T21:31:00Z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2025-02-22T00:00:00Z</vt:filetime>
  </property>
  <property fmtid="{D5CDD505-2E9C-101B-9397-08002B2CF9AE}" pid="3" name="LastSaved">
    <vt:filetime>2025-07-05T00:00:00Z</vt:filetime>
  </property>
  <property fmtid="{D5CDD505-2E9C-101B-9397-08002B2CF9AE}" pid="4" name="Producer">
    <vt:lpwstr>macOS Versão 11.7.10 (Compilação 20G1427) Quartz PDFContext</vt:lpwstr>
  </property>
  <property fmtid="{D5CDD505-2E9C-101B-9397-08002B2CF9AE}" pid="5" name="ContentTypeId">
    <vt:lpwstr>0x010100A6D99DE860F20043B13FD0D2C6F8E5C7</vt:lpwstr>
  </property>
</Properties>
</file>